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44BA" w14:textId="0EC5CDF3" w:rsidR="00C724F4" w:rsidRPr="00481427" w:rsidRDefault="00C724F4" w:rsidP="00C724F4">
      <w:pPr>
        <w:spacing w:before="240" w:after="360" w:line="264" w:lineRule="auto"/>
        <w:jc w:val="center"/>
        <w:rPr>
          <w:rStyle w:val="TitleChar"/>
          <w:rFonts w:ascii="Palatino Linotype" w:hAnsi="Palatino Linotype"/>
          <w:b/>
          <w:color w:val="77206D" w:themeColor="accent5" w:themeShade="BF"/>
          <w:spacing w:val="10"/>
          <w:kern w:val="0"/>
          <w:sz w:val="24"/>
          <w:szCs w:val="24"/>
          <w:u w:val="single"/>
          <w14:ligatures w14:val="none"/>
        </w:rPr>
      </w:pPr>
      <w:r w:rsidRPr="00481427">
        <w:rPr>
          <w:rStyle w:val="TitleChar"/>
          <w:rFonts w:ascii="Palatino Linotype" w:hAnsi="Palatino Linotype"/>
          <w:b/>
          <w:color w:val="77206D" w:themeColor="accent5" w:themeShade="BF"/>
          <w:spacing w:val="10"/>
          <w:kern w:val="0"/>
          <w:sz w:val="24"/>
          <w:szCs w:val="24"/>
          <w:u w:val="single"/>
          <w14:ligatures w14:val="none"/>
        </w:rPr>
        <w:t>REQUEST FOR PROPOSAL</w:t>
      </w:r>
      <w:r w:rsidR="002D0D90">
        <w:rPr>
          <w:rStyle w:val="TitleChar"/>
          <w:rFonts w:ascii="Palatino Linotype" w:hAnsi="Palatino Linotype"/>
          <w:b/>
          <w:color w:val="77206D" w:themeColor="accent5" w:themeShade="BF"/>
          <w:spacing w:val="10"/>
          <w:kern w:val="0"/>
          <w:sz w:val="24"/>
          <w:szCs w:val="24"/>
          <w:u w:val="single"/>
          <w14:ligatures w14:val="none"/>
        </w:rPr>
        <w:t>S</w:t>
      </w:r>
    </w:p>
    <w:p w14:paraId="0704FD70" w14:textId="24380D62" w:rsidR="00C724F4" w:rsidRPr="00481427" w:rsidRDefault="00C724F4" w:rsidP="00DD7F96">
      <w:pPr>
        <w:spacing w:before="240" w:after="360" w:line="264" w:lineRule="auto"/>
        <w:jc w:val="center"/>
        <w:rPr>
          <w:rStyle w:val="TitleChar"/>
          <w:rFonts w:ascii="Palatino Linotype" w:hAnsi="Palatino Linotype"/>
          <w:b/>
          <w:color w:val="77206D" w:themeColor="accent5" w:themeShade="BF"/>
          <w:spacing w:val="10"/>
          <w:kern w:val="0"/>
          <w:sz w:val="24"/>
          <w:szCs w:val="24"/>
          <w14:ligatures w14:val="none"/>
        </w:rPr>
      </w:pPr>
      <w:r w:rsidRPr="00481427">
        <w:rPr>
          <w:rStyle w:val="TitleChar"/>
          <w:rFonts w:ascii="Palatino Linotype" w:hAnsi="Palatino Linotype"/>
          <w:b/>
          <w:color w:val="77206D" w:themeColor="accent5" w:themeShade="BF"/>
          <w:spacing w:val="10"/>
          <w:kern w:val="0"/>
          <w:sz w:val="24"/>
          <w:szCs w:val="24"/>
          <w14:ligatures w14:val="none"/>
        </w:rPr>
        <w:t xml:space="preserve">Knowledge Partner for Evidence Synthesis and Knowledge Integration </w:t>
      </w:r>
      <w:r w:rsidR="00725D8D">
        <w:rPr>
          <w:rStyle w:val="TitleChar"/>
          <w:rFonts w:ascii="Palatino Linotype" w:hAnsi="Palatino Linotype"/>
          <w:b/>
          <w:color w:val="77206D" w:themeColor="accent5" w:themeShade="BF"/>
          <w:spacing w:val="10"/>
          <w:kern w:val="0"/>
          <w:sz w:val="24"/>
          <w:szCs w:val="24"/>
          <w14:ligatures w14:val="none"/>
        </w:rPr>
        <w:t>i</w:t>
      </w:r>
      <w:r w:rsidR="00CF36A5">
        <w:rPr>
          <w:rStyle w:val="TitleChar"/>
          <w:rFonts w:ascii="Palatino Linotype" w:hAnsi="Palatino Linotype"/>
          <w:b/>
          <w:color w:val="77206D" w:themeColor="accent5" w:themeShade="BF"/>
          <w:spacing w:val="10"/>
          <w:kern w:val="0"/>
          <w:sz w:val="24"/>
          <w:szCs w:val="24"/>
          <w14:ligatures w14:val="none"/>
        </w:rPr>
        <w:t>n</w:t>
      </w:r>
      <w:r w:rsidR="00B72730">
        <w:rPr>
          <w:rStyle w:val="TitleChar"/>
          <w:rFonts w:ascii="Palatino Linotype" w:hAnsi="Palatino Linotype"/>
          <w:b/>
          <w:color w:val="77206D" w:themeColor="accent5" w:themeShade="BF"/>
          <w:spacing w:val="10"/>
          <w:kern w:val="0"/>
          <w:sz w:val="24"/>
          <w:szCs w:val="24"/>
          <w14:ligatures w14:val="none"/>
        </w:rPr>
        <w:t xml:space="preserve"> </w:t>
      </w:r>
      <w:r w:rsidRPr="00481427">
        <w:rPr>
          <w:rStyle w:val="TitleChar"/>
          <w:rFonts w:ascii="Palatino Linotype" w:hAnsi="Palatino Linotype"/>
          <w:b/>
          <w:color w:val="77206D" w:themeColor="accent5" w:themeShade="BF"/>
          <w:spacing w:val="10"/>
          <w:kern w:val="0"/>
          <w:sz w:val="24"/>
          <w:szCs w:val="24"/>
          <w14:ligatures w14:val="none"/>
        </w:rPr>
        <w:t>SRHR</w:t>
      </w:r>
    </w:p>
    <w:p w14:paraId="657B5653" w14:textId="4776DEB7" w:rsidR="00C724F4" w:rsidRPr="00481427" w:rsidRDefault="00C724F4" w:rsidP="00C724F4">
      <w:pPr>
        <w:spacing w:before="120"/>
        <w:jc w:val="both"/>
        <w:rPr>
          <w:rFonts w:ascii="Palatino Linotype" w:hAnsi="Palatino Linotype"/>
        </w:rPr>
      </w:pPr>
      <w:r w:rsidRPr="00481427">
        <w:rPr>
          <w:rFonts w:ascii="Palatino Linotype" w:hAnsi="Palatino Linotype"/>
        </w:rPr>
        <w:t>The International Planned Parenthood Federation (IPPF) is a global healthcare provider and a leading advocate of sexual and reproductive health and rights (SRHR) for all. Led by a courageous and determined group of women, IPPF was founded in 1952 at the Third International Planned Parenthood Conference. Today, we are a movement of 120 autonomous members with a presence in over 146 countries. The South Asia Regional Office (</w:t>
      </w:r>
      <w:r w:rsidR="00553118">
        <w:rPr>
          <w:rFonts w:ascii="Palatino Linotype" w:hAnsi="Palatino Linotype"/>
        </w:rPr>
        <w:t xml:space="preserve">IPPF </w:t>
      </w:r>
      <w:r w:rsidRPr="00481427">
        <w:rPr>
          <w:rFonts w:ascii="Palatino Linotype" w:hAnsi="Palatino Linotype"/>
        </w:rPr>
        <w:t>SAR) is one of the regi</w:t>
      </w:r>
      <w:r w:rsidR="00A3306E">
        <w:rPr>
          <w:rFonts w:ascii="Palatino Linotype" w:hAnsi="Palatino Linotype"/>
        </w:rPr>
        <w:t>o</w:t>
      </w:r>
      <w:r w:rsidRPr="00481427">
        <w:rPr>
          <w:rFonts w:ascii="Palatino Linotype" w:hAnsi="Palatino Linotype"/>
        </w:rPr>
        <w:t>nal offices among six</w:t>
      </w:r>
      <w:r w:rsidR="00E50842">
        <w:rPr>
          <w:rFonts w:ascii="Palatino Linotype" w:hAnsi="Palatino Linotype"/>
        </w:rPr>
        <w:t xml:space="preserve"> regional offices</w:t>
      </w:r>
      <w:r w:rsidRPr="00481427">
        <w:rPr>
          <w:rFonts w:ascii="Palatino Linotype" w:hAnsi="Palatino Linotype"/>
        </w:rPr>
        <w:t xml:space="preserve">. </w:t>
      </w:r>
      <w:r w:rsidR="00E50842">
        <w:rPr>
          <w:rFonts w:ascii="Palatino Linotype" w:hAnsi="Palatino Linotype"/>
        </w:rPr>
        <w:t>IPPF South Asia Region (IPPF SAR)</w:t>
      </w:r>
      <w:r w:rsidRPr="00481427">
        <w:rPr>
          <w:rFonts w:ascii="Palatino Linotype" w:hAnsi="Palatino Linotype"/>
        </w:rPr>
        <w:t xml:space="preserve"> works in eight south Asian countries through country partners.</w:t>
      </w:r>
    </w:p>
    <w:p w14:paraId="47ABA789" w14:textId="1D2ADE99" w:rsidR="00C724F4" w:rsidRPr="00481427" w:rsidRDefault="00E50842" w:rsidP="00C724F4">
      <w:pPr>
        <w:jc w:val="both"/>
        <w:rPr>
          <w:rFonts w:ascii="Palatino Linotype" w:hAnsi="Palatino Linotype"/>
        </w:rPr>
      </w:pPr>
      <w:r>
        <w:rPr>
          <w:rFonts w:ascii="Palatino Linotype" w:hAnsi="Palatino Linotype"/>
        </w:rPr>
        <w:t xml:space="preserve">IPPF SAR </w:t>
      </w:r>
      <w:r w:rsidR="00C724F4" w:rsidRPr="00481427">
        <w:rPr>
          <w:rFonts w:ascii="Palatino Linotype" w:hAnsi="Palatino Linotype"/>
        </w:rPr>
        <w:t xml:space="preserve">is seeking a knowledge partner (company, or institute) to </w:t>
      </w:r>
      <w:r w:rsidR="006E4CCC">
        <w:rPr>
          <w:rFonts w:ascii="Palatino Linotype" w:hAnsi="Palatino Linotype"/>
        </w:rPr>
        <w:t>undertake</w:t>
      </w:r>
      <w:r w:rsidR="00C724F4" w:rsidRPr="00481427">
        <w:rPr>
          <w:rFonts w:ascii="Palatino Linotype" w:hAnsi="Palatino Linotype"/>
        </w:rPr>
        <w:t xml:space="preserve"> Evidence Synthesis and Knowledge Integration</w:t>
      </w:r>
      <w:r w:rsidR="006E4CCC">
        <w:rPr>
          <w:rFonts w:ascii="Palatino Linotype" w:hAnsi="Palatino Linotype"/>
        </w:rPr>
        <w:t xml:space="preserve">. </w:t>
      </w:r>
    </w:p>
    <w:p w14:paraId="1F471680" w14:textId="28EB4229" w:rsidR="00C724F4" w:rsidRPr="00481427" w:rsidRDefault="00C724F4" w:rsidP="00C724F4">
      <w:pPr>
        <w:spacing w:before="120" w:after="240"/>
        <w:jc w:val="both"/>
        <w:rPr>
          <w:rFonts w:ascii="Palatino Linotype" w:hAnsi="Palatino Linotype"/>
        </w:rPr>
      </w:pPr>
      <w:r w:rsidRPr="00481427">
        <w:rPr>
          <w:rFonts w:ascii="Palatino Linotype" w:hAnsi="Palatino Linotype"/>
        </w:rPr>
        <w:t>The contract will be awarded to a legal agency/company with the requested qualifications who would collaborate closely with IPPF</w:t>
      </w:r>
      <w:r w:rsidR="006E4CCC">
        <w:rPr>
          <w:rFonts w:ascii="Palatino Linotype" w:hAnsi="Palatino Linotype"/>
        </w:rPr>
        <w:t xml:space="preserve"> SAR</w:t>
      </w:r>
      <w:r w:rsidRPr="00481427">
        <w:rPr>
          <w:rFonts w:ascii="Palatino Linotype" w:hAnsi="Palatino Linotype"/>
        </w:rPr>
        <w:t xml:space="preserve">. </w:t>
      </w:r>
    </w:p>
    <w:p w14:paraId="0536FD47" w14:textId="77181F27" w:rsidR="00C724F4" w:rsidRPr="00481427" w:rsidRDefault="00C724F4" w:rsidP="00C724F4">
      <w:pPr>
        <w:jc w:val="both"/>
        <w:rPr>
          <w:rFonts w:ascii="Palatino Linotype" w:hAnsi="Palatino Linotype"/>
        </w:rPr>
      </w:pPr>
      <w:r w:rsidRPr="00481427">
        <w:rPr>
          <w:rFonts w:ascii="Palatino Linotype" w:hAnsi="Palatino Linotype"/>
        </w:rPr>
        <w:t xml:space="preserve">Interested applicants must submit technical and financial proposals. Proposals should be prepared in accordance with the annexe </w:t>
      </w:r>
      <w:proofErr w:type="spellStart"/>
      <w:r w:rsidRPr="00481427">
        <w:rPr>
          <w:rFonts w:ascii="Palatino Linotype" w:hAnsi="Palatino Linotype"/>
        </w:rPr>
        <w:t>ToR</w:t>
      </w:r>
      <w:proofErr w:type="spellEnd"/>
      <w:r w:rsidRPr="00481427">
        <w:rPr>
          <w:rFonts w:ascii="Palatino Linotype" w:hAnsi="Palatino Linotype"/>
        </w:rPr>
        <w:t xml:space="preserve"> and submitted until </w:t>
      </w:r>
      <w:r w:rsidRPr="00481427">
        <w:rPr>
          <w:rFonts w:ascii="Palatino Linotype" w:hAnsi="Palatino Linotype"/>
          <w:b/>
          <w:bCs/>
          <w:u w:val="single"/>
        </w:rPr>
        <w:t>1</w:t>
      </w:r>
      <w:r w:rsidR="00351F7B">
        <w:rPr>
          <w:rFonts w:ascii="Palatino Linotype" w:hAnsi="Palatino Linotype"/>
          <w:b/>
          <w:bCs/>
          <w:u w:val="single"/>
        </w:rPr>
        <w:t>3</w:t>
      </w:r>
      <w:r w:rsidRPr="00481427">
        <w:rPr>
          <w:rFonts w:ascii="Palatino Linotype" w:hAnsi="Palatino Linotype"/>
          <w:b/>
          <w:bCs/>
          <w:u w:val="single"/>
        </w:rPr>
        <w:t>th July 2025</w:t>
      </w:r>
      <w:r w:rsidR="006E4CCC">
        <w:rPr>
          <w:rFonts w:ascii="Palatino Linotype" w:hAnsi="Palatino Linotype"/>
          <w:b/>
          <w:bCs/>
          <w:u w:val="single"/>
        </w:rPr>
        <w:t xml:space="preserve"> </w:t>
      </w:r>
      <w:r w:rsidRPr="00481427">
        <w:rPr>
          <w:rFonts w:ascii="Palatino Linotype" w:hAnsi="Palatino Linotype"/>
        </w:rPr>
        <w:t>by e-mail to</w:t>
      </w:r>
      <w:r w:rsidR="00B46EA9">
        <w:rPr>
          <w:rFonts w:ascii="Palatino Linotype" w:hAnsi="Palatino Linotype"/>
        </w:rPr>
        <w:t xml:space="preserve"> </w:t>
      </w:r>
      <w:hyperlink r:id="rId7" w:history="1">
        <w:r w:rsidR="00B46EA9" w:rsidRPr="00755425">
          <w:rPr>
            <w:rStyle w:val="Hyperlink"/>
            <w:rFonts w:ascii="Palatino Linotype" w:hAnsi="Palatino Linotype"/>
            <w:b/>
            <w:bCs/>
          </w:rPr>
          <w:t>adas@ippf.org</w:t>
        </w:r>
      </w:hyperlink>
      <w:r w:rsidR="00B46EA9">
        <w:t xml:space="preserve"> </w:t>
      </w:r>
      <w:r w:rsidRPr="009B5DB5">
        <w:rPr>
          <w:rFonts w:ascii="Palatino Linotype" w:hAnsi="Palatino Linotype"/>
        </w:rPr>
        <w:t>cop</w:t>
      </w:r>
      <w:r w:rsidR="00B46EA9">
        <w:rPr>
          <w:rFonts w:ascii="Palatino Linotype" w:hAnsi="Palatino Linotype"/>
        </w:rPr>
        <w:t>y</w:t>
      </w:r>
      <w:r w:rsidRPr="009B5DB5">
        <w:rPr>
          <w:rFonts w:ascii="Palatino Linotype" w:hAnsi="Palatino Linotype"/>
        </w:rPr>
        <w:t>ing</w:t>
      </w:r>
      <w:r w:rsidR="00B46EA9">
        <w:rPr>
          <w:rFonts w:ascii="Palatino Linotype" w:hAnsi="Palatino Linotype"/>
        </w:rPr>
        <w:t xml:space="preserve"> </w:t>
      </w:r>
      <w:hyperlink r:id="rId8" w:history="1">
        <w:r w:rsidR="00B46EA9" w:rsidRPr="00755425">
          <w:rPr>
            <w:rStyle w:val="Hyperlink"/>
            <w:rFonts w:ascii="Palatino Linotype" w:hAnsi="Palatino Linotype"/>
            <w:b/>
            <w:bCs/>
          </w:rPr>
          <w:t>procurement@ippf.org</w:t>
        </w:r>
      </w:hyperlink>
      <w:r w:rsidRPr="00481427">
        <w:rPr>
          <w:rFonts w:ascii="Palatino Linotype" w:hAnsi="Palatino Linotype"/>
        </w:rPr>
        <w:t xml:space="preserve">, </w:t>
      </w:r>
      <w:r w:rsidR="00B46EA9">
        <w:rPr>
          <w:rFonts w:ascii="Palatino Linotype" w:hAnsi="Palatino Linotype"/>
        </w:rPr>
        <w:t>with the subject</w:t>
      </w:r>
      <w:r w:rsidRPr="00481427">
        <w:rPr>
          <w:rFonts w:ascii="Palatino Linotype" w:hAnsi="Palatino Linotype"/>
        </w:rPr>
        <w:t xml:space="preserve">: </w:t>
      </w:r>
      <w:r w:rsidRPr="00481427">
        <w:rPr>
          <w:rFonts w:ascii="Palatino Linotype" w:hAnsi="Palatino Linotype"/>
          <w:b/>
          <w:bCs/>
        </w:rPr>
        <w:t>“Application – Knowledge Partner”.</w:t>
      </w:r>
    </w:p>
    <w:p w14:paraId="299F38ED" w14:textId="74F83055" w:rsidR="00C724F4" w:rsidRPr="00481427" w:rsidRDefault="00C724F4" w:rsidP="00C724F4">
      <w:pPr>
        <w:jc w:val="both"/>
        <w:rPr>
          <w:rFonts w:ascii="Palatino Linotype" w:hAnsi="Palatino Linotype"/>
        </w:rPr>
      </w:pPr>
      <w:r w:rsidRPr="00481427">
        <w:rPr>
          <w:rFonts w:ascii="Palatino Linotype" w:hAnsi="Palatino Linotype"/>
        </w:rPr>
        <w:t>Proposals which do not fulfil these specifications may be disqualifie</w:t>
      </w:r>
      <w:r w:rsidR="00B46EA9">
        <w:rPr>
          <w:rFonts w:ascii="Palatino Linotype" w:hAnsi="Palatino Linotype"/>
        </w:rPr>
        <w:t xml:space="preserve">d. </w:t>
      </w:r>
    </w:p>
    <w:p w14:paraId="5C57B569" w14:textId="77777777" w:rsidR="00C724F4" w:rsidRPr="00481427" w:rsidRDefault="00C724F4" w:rsidP="00C724F4">
      <w:pPr>
        <w:jc w:val="both"/>
        <w:rPr>
          <w:rFonts w:ascii="Palatino Linotype" w:hAnsi="Palatino Linotype"/>
        </w:rPr>
      </w:pPr>
    </w:p>
    <w:p w14:paraId="2BD76AC4" w14:textId="77777777" w:rsidR="00C724F4" w:rsidRPr="00481427" w:rsidRDefault="00C724F4" w:rsidP="00C724F4">
      <w:pPr>
        <w:jc w:val="both"/>
        <w:rPr>
          <w:rFonts w:ascii="Palatino Linotype" w:hAnsi="Palatino Linotype"/>
          <w:b/>
          <w:bCs/>
          <w:i/>
          <w:iCs/>
          <w:u w:val="single"/>
        </w:rPr>
      </w:pPr>
      <w:r w:rsidRPr="00481427">
        <w:rPr>
          <w:rFonts w:ascii="Palatino Linotype" w:hAnsi="Palatino Linotype"/>
          <w:b/>
          <w:bCs/>
          <w:i/>
          <w:iCs/>
          <w:u w:val="single"/>
        </w:rPr>
        <w:t xml:space="preserve">All details are mentioned in the </w:t>
      </w:r>
      <w:proofErr w:type="spellStart"/>
      <w:r w:rsidRPr="00481427">
        <w:rPr>
          <w:rFonts w:ascii="Palatino Linotype" w:hAnsi="Palatino Linotype"/>
          <w:b/>
          <w:bCs/>
          <w:i/>
          <w:iCs/>
          <w:u w:val="single"/>
        </w:rPr>
        <w:t>ToR</w:t>
      </w:r>
      <w:proofErr w:type="spellEnd"/>
      <w:r w:rsidRPr="00481427">
        <w:rPr>
          <w:rFonts w:ascii="Palatino Linotype" w:hAnsi="Palatino Linotype"/>
          <w:b/>
          <w:bCs/>
          <w:i/>
          <w:iCs/>
          <w:u w:val="single"/>
        </w:rPr>
        <w:t xml:space="preserve"> (Annexure I)</w:t>
      </w:r>
    </w:p>
    <w:p w14:paraId="7C6D712A" w14:textId="77777777" w:rsidR="001F128D" w:rsidRPr="00481427" w:rsidRDefault="001F128D" w:rsidP="006A7313">
      <w:pPr>
        <w:pStyle w:val="Subtitle"/>
        <w:spacing w:before="120"/>
        <w:ind w:right="-187"/>
        <w:jc w:val="center"/>
        <w:rPr>
          <w:rStyle w:val="TitleChar"/>
          <w:rFonts w:ascii="Palatino Linotype" w:hAnsi="Palatino Linotype"/>
          <w:bCs/>
          <w:color w:val="77206D" w:themeColor="accent5" w:themeShade="BF"/>
          <w:spacing w:val="10"/>
          <w:kern w:val="0"/>
          <w:sz w:val="22"/>
          <w:szCs w:val="22"/>
          <w:u w:val="single"/>
          <w14:ligatures w14:val="none"/>
        </w:rPr>
      </w:pPr>
    </w:p>
    <w:p w14:paraId="1CC86B2B" w14:textId="77777777" w:rsidR="001F128D" w:rsidRPr="00481427" w:rsidRDefault="001F128D" w:rsidP="006A7313">
      <w:pPr>
        <w:pStyle w:val="Subtitle"/>
        <w:spacing w:before="120"/>
        <w:ind w:right="-187"/>
        <w:jc w:val="center"/>
        <w:rPr>
          <w:rStyle w:val="TitleChar"/>
          <w:rFonts w:ascii="Palatino Linotype" w:hAnsi="Palatino Linotype"/>
          <w:bCs/>
          <w:color w:val="77206D" w:themeColor="accent5" w:themeShade="BF"/>
          <w:spacing w:val="10"/>
          <w:kern w:val="0"/>
          <w:sz w:val="22"/>
          <w:szCs w:val="22"/>
          <w:u w:val="single"/>
          <w14:ligatures w14:val="none"/>
        </w:rPr>
      </w:pPr>
    </w:p>
    <w:p w14:paraId="685035F1" w14:textId="77777777" w:rsidR="00481427" w:rsidRPr="00481427" w:rsidRDefault="00481427" w:rsidP="00481427">
      <w:pPr>
        <w:rPr>
          <w:rFonts w:ascii="Palatino Linotype" w:hAnsi="Palatino Linotype"/>
        </w:rPr>
      </w:pPr>
    </w:p>
    <w:p w14:paraId="4C70BFAD" w14:textId="77777777" w:rsidR="00481427" w:rsidRPr="00481427" w:rsidRDefault="00481427" w:rsidP="00481427">
      <w:pPr>
        <w:rPr>
          <w:rFonts w:ascii="Palatino Linotype" w:hAnsi="Palatino Linotype"/>
        </w:rPr>
      </w:pPr>
    </w:p>
    <w:p w14:paraId="36048623" w14:textId="77777777" w:rsidR="00481427" w:rsidRPr="00481427" w:rsidRDefault="00481427" w:rsidP="00481427">
      <w:pPr>
        <w:rPr>
          <w:rFonts w:ascii="Palatino Linotype" w:hAnsi="Palatino Linotype"/>
        </w:rPr>
      </w:pPr>
    </w:p>
    <w:p w14:paraId="4950A5B2" w14:textId="77777777" w:rsidR="00481427" w:rsidRPr="00481427" w:rsidRDefault="00481427" w:rsidP="00481427">
      <w:pPr>
        <w:rPr>
          <w:rFonts w:ascii="Palatino Linotype" w:hAnsi="Palatino Linotype"/>
        </w:rPr>
      </w:pPr>
    </w:p>
    <w:p w14:paraId="46C9607B" w14:textId="77777777" w:rsidR="00481427" w:rsidRPr="00481427" w:rsidRDefault="00481427" w:rsidP="00481427">
      <w:pPr>
        <w:rPr>
          <w:rFonts w:ascii="Palatino Linotype" w:hAnsi="Palatino Linotype"/>
        </w:rPr>
      </w:pPr>
    </w:p>
    <w:p w14:paraId="3BA94C90" w14:textId="77777777" w:rsidR="00481427" w:rsidRPr="00481427" w:rsidRDefault="00481427" w:rsidP="00481427">
      <w:pPr>
        <w:rPr>
          <w:rFonts w:ascii="Palatino Linotype" w:hAnsi="Palatino Linotype"/>
        </w:rPr>
      </w:pPr>
    </w:p>
    <w:p w14:paraId="414D958B" w14:textId="77777777" w:rsidR="00481427" w:rsidRPr="00481427" w:rsidRDefault="00481427" w:rsidP="00481427">
      <w:pPr>
        <w:rPr>
          <w:rFonts w:ascii="Palatino Linotype" w:hAnsi="Palatino Linotype"/>
        </w:rPr>
      </w:pPr>
    </w:p>
    <w:p w14:paraId="48AD6970" w14:textId="77777777" w:rsidR="00481427" w:rsidRPr="00481427" w:rsidRDefault="00481427" w:rsidP="00481427">
      <w:pPr>
        <w:rPr>
          <w:rFonts w:ascii="Palatino Linotype" w:hAnsi="Palatino Linotype"/>
        </w:rPr>
      </w:pPr>
    </w:p>
    <w:p w14:paraId="6BF6FCF2" w14:textId="3A0941F7" w:rsidR="000F72E5" w:rsidRPr="00481427" w:rsidRDefault="00D033BC" w:rsidP="006A7313">
      <w:pPr>
        <w:pStyle w:val="Subtitle"/>
        <w:spacing w:before="120"/>
        <w:ind w:right="-187"/>
        <w:jc w:val="center"/>
        <w:rPr>
          <w:rStyle w:val="TitleChar"/>
          <w:rFonts w:ascii="Palatino Linotype" w:hAnsi="Palatino Linotype"/>
          <w:bCs/>
          <w:color w:val="77206D" w:themeColor="accent5" w:themeShade="BF"/>
          <w:spacing w:val="10"/>
          <w:kern w:val="0"/>
          <w:sz w:val="22"/>
          <w:szCs w:val="22"/>
          <w:u w:val="single"/>
          <w14:ligatures w14:val="none"/>
        </w:rPr>
      </w:pPr>
      <w:r>
        <w:rPr>
          <w:rStyle w:val="TitleChar"/>
          <w:rFonts w:ascii="Palatino Linotype" w:hAnsi="Palatino Linotype"/>
          <w:bCs/>
          <w:color w:val="77206D" w:themeColor="accent5" w:themeShade="BF"/>
          <w:spacing w:val="10"/>
          <w:kern w:val="0"/>
          <w:sz w:val="22"/>
          <w:szCs w:val="22"/>
          <w:u w:val="single"/>
          <w14:ligatures w14:val="none"/>
        </w:rPr>
        <w:lastRenderedPageBreak/>
        <w:t xml:space="preserve">ANNEXURE -1 </w:t>
      </w:r>
      <w:r w:rsidR="000F72E5" w:rsidRPr="00481427">
        <w:rPr>
          <w:rStyle w:val="TitleChar"/>
          <w:rFonts w:ascii="Palatino Linotype" w:hAnsi="Palatino Linotype"/>
          <w:bCs/>
          <w:color w:val="77206D" w:themeColor="accent5" w:themeShade="BF"/>
          <w:spacing w:val="10"/>
          <w:kern w:val="0"/>
          <w:sz w:val="22"/>
          <w:szCs w:val="22"/>
          <w:u w:val="single"/>
          <w14:ligatures w14:val="none"/>
        </w:rPr>
        <w:t>TERMS OF REFERENCE (</w:t>
      </w:r>
      <w:proofErr w:type="spellStart"/>
      <w:r w:rsidR="000F72E5" w:rsidRPr="00481427">
        <w:rPr>
          <w:rStyle w:val="TitleChar"/>
          <w:rFonts w:ascii="Palatino Linotype" w:hAnsi="Palatino Linotype"/>
          <w:bCs/>
          <w:color w:val="77206D" w:themeColor="accent5" w:themeShade="BF"/>
          <w:spacing w:val="10"/>
          <w:kern w:val="0"/>
          <w:sz w:val="22"/>
          <w:szCs w:val="22"/>
          <w:u w:val="single"/>
          <w14:ligatures w14:val="none"/>
        </w:rPr>
        <w:t>ToR</w:t>
      </w:r>
      <w:proofErr w:type="spellEnd"/>
      <w:r w:rsidR="000F72E5" w:rsidRPr="00481427">
        <w:rPr>
          <w:rStyle w:val="TitleChar"/>
          <w:rFonts w:ascii="Palatino Linotype" w:hAnsi="Palatino Linotype"/>
          <w:bCs/>
          <w:color w:val="77206D" w:themeColor="accent5" w:themeShade="BF"/>
          <w:spacing w:val="10"/>
          <w:kern w:val="0"/>
          <w:sz w:val="22"/>
          <w:szCs w:val="22"/>
          <w:u w:val="single"/>
          <w14:ligatures w14:val="none"/>
        </w:rPr>
        <w:t>)</w:t>
      </w:r>
    </w:p>
    <w:p w14:paraId="7C9FDBB2" w14:textId="3187BEFC" w:rsidR="002E7F12" w:rsidRPr="00481427" w:rsidRDefault="009D4131" w:rsidP="006A7313">
      <w:pPr>
        <w:spacing w:before="240" w:after="360" w:line="264" w:lineRule="auto"/>
        <w:jc w:val="center"/>
        <w:rPr>
          <w:rFonts w:ascii="Palatino Linotype" w:eastAsiaTheme="majorEastAsia" w:hAnsi="Palatino Linotype" w:cstheme="majorBidi"/>
          <w:color w:val="77206D" w:themeColor="accent5" w:themeShade="BF"/>
          <w:spacing w:val="10"/>
          <w:kern w:val="0"/>
          <w:sz w:val="24"/>
          <w:szCs w:val="24"/>
          <w14:ligatures w14:val="none"/>
        </w:rPr>
      </w:pPr>
      <w:r w:rsidRPr="00481427">
        <w:rPr>
          <w:rStyle w:val="TitleChar"/>
          <w:rFonts w:ascii="Palatino Linotype" w:hAnsi="Palatino Linotype"/>
          <w:b/>
          <w:color w:val="77206D" w:themeColor="accent5" w:themeShade="BF"/>
          <w:spacing w:val="10"/>
          <w:kern w:val="0"/>
          <w:sz w:val="24"/>
          <w:szCs w:val="24"/>
          <w14:ligatures w14:val="none"/>
        </w:rPr>
        <w:t>K</w:t>
      </w:r>
      <w:r w:rsidR="00225C9C" w:rsidRPr="00481427">
        <w:rPr>
          <w:rStyle w:val="TitleChar"/>
          <w:rFonts w:ascii="Palatino Linotype" w:hAnsi="Palatino Linotype"/>
          <w:b/>
          <w:color w:val="77206D" w:themeColor="accent5" w:themeShade="BF"/>
          <w:spacing w:val="10"/>
          <w:kern w:val="0"/>
          <w:sz w:val="24"/>
          <w:szCs w:val="24"/>
          <w14:ligatures w14:val="none"/>
        </w:rPr>
        <w:t xml:space="preserve">nowledge </w:t>
      </w:r>
      <w:r w:rsidRPr="00481427">
        <w:rPr>
          <w:rStyle w:val="TitleChar"/>
          <w:rFonts w:ascii="Palatino Linotype" w:hAnsi="Palatino Linotype"/>
          <w:b/>
          <w:color w:val="77206D" w:themeColor="accent5" w:themeShade="BF"/>
          <w:spacing w:val="10"/>
          <w:kern w:val="0"/>
          <w:sz w:val="24"/>
          <w:szCs w:val="24"/>
          <w14:ligatures w14:val="none"/>
        </w:rPr>
        <w:t xml:space="preserve">Partner </w:t>
      </w:r>
      <w:r w:rsidR="00AE1665" w:rsidRPr="00481427">
        <w:rPr>
          <w:rStyle w:val="TitleChar"/>
          <w:rFonts w:ascii="Palatino Linotype" w:hAnsi="Palatino Linotype"/>
          <w:b/>
          <w:color w:val="77206D" w:themeColor="accent5" w:themeShade="BF"/>
          <w:spacing w:val="10"/>
          <w:kern w:val="0"/>
          <w:sz w:val="24"/>
          <w:szCs w:val="24"/>
          <w14:ligatures w14:val="none"/>
        </w:rPr>
        <w:t>for Evidence Synthesis</w:t>
      </w:r>
      <w:r w:rsidR="00817E51" w:rsidRPr="00481427">
        <w:rPr>
          <w:rStyle w:val="TitleChar"/>
          <w:rFonts w:ascii="Palatino Linotype" w:hAnsi="Palatino Linotype"/>
          <w:b/>
          <w:color w:val="77206D" w:themeColor="accent5" w:themeShade="BF"/>
          <w:spacing w:val="10"/>
          <w:kern w:val="0"/>
          <w:sz w:val="24"/>
          <w:szCs w:val="24"/>
          <w14:ligatures w14:val="none"/>
        </w:rPr>
        <w:t xml:space="preserve"> and Know</w:t>
      </w:r>
      <w:r w:rsidR="005F6BF3" w:rsidRPr="00481427">
        <w:rPr>
          <w:rStyle w:val="TitleChar"/>
          <w:rFonts w:ascii="Palatino Linotype" w:hAnsi="Palatino Linotype"/>
          <w:b/>
          <w:color w:val="77206D" w:themeColor="accent5" w:themeShade="BF"/>
          <w:spacing w:val="10"/>
          <w:kern w:val="0"/>
          <w:sz w:val="24"/>
          <w:szCs w:val="24"/>
          <w14:ligatures w14:val="none"/>
        </w:rPr>
        <w:t>ledge Integration</w:t>
      </w:r>
      <w:r w:rsidR="00B57DEA">
        <w:rPr>
          <w:rStyle w:val="TitleChar"/>
          <w:rFonts w:ascii="Palatino Linotype" w:hAnsi="Palatino Linotype"/>
          <w:b/>
          <w:color w:val="77206D" w:themeColor="accent5" w:themeShade="BF"/>
          <w:spacing w:val="10"/>
          <w:kern w:val="0"/>
          <w:sz w:val="24"/>
          <w:szCs w:val="24"/>
          <w14:ligatures w14:val="none"/>
        </w:rPr>
        <w:t xml:space="preserve"> in SRHR</w:t>
      </w:r>
    </w:p>
    <w:p w14:paraId="690D6E6B" w14:textId="48D9BF0A" w:rsidR="00693853" w:rsidRPr="00481427" w:rsidRDefault="00693853" w:rsidP="002E7F12">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sidRPr="00481427">
        <w:rPr>
          <w:rFonts w:ascii="Palatino Linotype" w:hAnsi="Palatino Linotype"/>
          <w:color w:val="77206D" w:themeColor="accent5" w:themeShade="BF"/>
          <w:kern w:val="0"/>
          <w:sz w:val="28"/>
          <w:szCs w:val="28"/>
          <w14:ligatures w14:val="none"/>
        </w:rPr>
        <w:t>Context</w:t>
      </w:r>
    </w:p>
    <w:p w14:paraId="77B1BD2F" w14:textId="6D30C261" w:rsidR="009723A3" w:rsidRPr="00481427" w:rsidRDefault="009723A3" w:rsidP="008471B5">
      <w:pPr>
        <w:jc w:val="both"/>
        <w:rPr>
          <w:rFonts w:ascii="Palatino Linotype" w:hAnsi="Palatino Linotype"/>
        </w:rPr>
      </w:pPr>
      <w:r w:rsidRPr="00481427">
        <w:rPr>
          <w:rFonts w:ascii="Palatino Linotype" w:hAnsi="Palatino Linotype"/>
        </w:rPr>
        <w:t xml:space="preserve">Evidence-based decision-making in sexual and reproductive health and rights (SRHR) is essential to do evidence-based </w:t>
      </w:r>
      <w:r w:rsidR="00067066" w:rsidRPr="00481427">
        <w:rPr>
          <w:rFonts w:ascii="Palatino Linotype" w:hAnsi="Palatino Linotype"/>
        </w:rPr>
        <w:t>advoca</w:t>
      </w:r>
      <w:r w:rsidR="004A76E0" w:rsidRPr="00481427">
        <w:rPr>
          <w:rFonts w:ascii="Palatino Linotype" w:hAnsi="Palatino Linotype"/>
        </w:rPr>
        <w:t xml:space="preserve">cy for </w:t>
      </w:r>
      <w:r w:rsidRPr="00481427">
        <w:rPr>
          <w:rFonts w:ascii="Palatino Linotype" w:hAnsi="Palatino Linotype"/>
        </w:rPr>
        <w:t>policies, programs, and interventions tailored to the specific needs and contexts of diverse populations. Achieving this requires a strong emphasis on generating and integrating high-quality, timely, and actionable evidence that can directly inform practice and polic</w:t>
      </w:r>
      <w:r w:rsidR="00717E28" w:rsidRPr="00481427">
        <w:rPr>
          <w:rFonts w:ascii="Palatino Linotype" w:hAnsi="Palatino Linotype"/>
        </w:rPr>
        <w:t>ies</w:t>
      </w:r>
      <w:r w:rsidRPr="00481427">
        <w:rPr>
          <w:rFonts w:ascii="Palatino Linotype" w:hAnsi="Palatino Linotype"/>
        </w:rPr>
        <w:t xml:space="preserve">. There is a critical need for systematic evidence synthesis and knowledge translation mechanisms that bridge the </w:t>
      </w:r>
      <w:r w:rsidR="003A4DFB" w:rsidRPr="00481427">
        <w:rPr>
          <w:rFonts w:ascii="Palatino Linotype" w:hAnsi="Palatino Linotype"/>
        </w:rPr>
        <w:t xml:space="preserve">thread of </w:t>
      </w:r>
      <w:r w:rsidRPr="00481427">
        <w:rPr>
          <w:rFonts w:ascii="Palatino Linotype" w:hAnsi="Palatino Linotype"/>
        </w:rPr>
        <w:t>research, policy and implementation</w:t>
      </w:r>
      <w:r w:rsidR="001D34EC" w:rsidRPr="00481427">
        <w:rPr>
          <w:rFonts w:ascii="Palatino Linotype" w:hAnsi="Palatino Linotype"/>
        </w:rPr>
        <w:t xml:space="preserve"> </w:t>
      </w:r>
      <w:r w:rsidRPr="00481427">
        <w:rPr>
          <w:rFonts w:ascii="Palatino Linotype" w:hAnsi="Palatino Linotype"/>
        </w:rPr>
        <w:t>to design responsive SRHR interventions that are grounded in real-world contexts and aligned with the evolving health and rights needs of communities.</w:t>
      </w:r>
    </w:p>
    <w:p w14:paraId="74FDB086" w14:textId="35F03575" w:rsidR="006B72BD" w:rsidRPr="00481427" w:rsidRDefault="00653654" w:rsidP="00C469EA">
      <w:pPr>
        <w:spacing w:after="360"/>
        <w:jc w:val="both"/>
        <w:rPr>
          <w:rFonts w:ascii="Palatino Linotype" w:hAnsi="Palatino Linotype"/>
        </w:rPr>
      </w:pPr>
      <w:r w:rsidRPr="00481427">
        <w:rPr>
          <w:rFonts w:ascii="Palatino Linotype" w:hAnsi="Palatino Linotype"/>
        </w:rPr>
        <w:t>To strengthen our evidence ecosystem and support knowledge translation</w:t>
      </w:r>
      <w:r w:rsidR="006B72BD" w:rsidRPr="00481427">
        <w:rPr>
          <w:rFonts w:ascii="Palatino Linotype" w:hAnsi="Palatino Linotype"/>
        </w:rPr>
        <w:t>, w</w:t>
      </w:r>
      <w:r w:rsidR="00295DC7" w:rsidRPr="00481427">
        <w:rPr>
          <w:rFonts w:ascii="Palatino Linotype" w:hAnsi="Palatino Linotype"/>
        </w:rPr>
        <w:t>e seek to engage a strategic knowledge partner with demonstrated expertise in Evidence Synthesis and Knowledge Integration to advance our work in Sexual and Reproductive Health (SRH). The partner will play a critical role in generating high-quality, policy-relevant evidence through systematic reviews, meta-analyses</w:t>
      </w:r>
      <w:r w:rsidR="00FB7497" w:rsidRPr="00481427">
        <w:rPr>
          <w:rFonts w:ascii="Palatino Linotype" w:hAnsi="Palatino Linotype"/>
        </w:rPr>
        <w:t xml:space="preserve"> </w:t>
      </w:r>
      <w:r w:rsidR="00295DC7" w:rsidRPr="00481427">
        <w:rPr>
          <w:rFonts w:ascii="Palatino Linotype" w:hAnsi="Palatino Linotype"/>
        </w:rPr>
        <w:t xml:space="preserve">to inform programmatic and policy </w:t>
      </w:r>
      <w:r w:rsidR="00FB7497" w:rsidRPr="00481427">
        <w:rPr>
          <w:rFonts w:ascii="Palatino Linotype" w:hAnsi="Palatino Linotype"/>
        </w:rPr>
        <w:t>aspects</w:t>
      </w:r>
      <w:r w:rsidR="00584BC1">
        <w:rPr>
          <w:rFonts w:ascii="Palatino Linotype" w:hAnsi="Palatino Linotype"/>
        </w:rPr>
        <w:t xml:space="preserve"> and </w:t>
      </w:r>
      <w:r w:rsidR="00295DC7" w:rsidRPr="00481427">
        <w:rPr>
          <w:rFonts w:ascii="Palatino Linotype" w:hAnsi="Palatino Linotype"/>
        </w:rPr>
        <w:t>decisions. This collaboration aims to bridge the gap between research and implementation by contextualizing global and regional SRH</w:t>
      </w:r>
      <w:r w:rsidR="00FF02AA" w:rsidRPr="00481427">
        <w:rPr>
          <w:rFonts w:ascii="Palatino Linotype" w:hAnsi="Palatino Linotype"/>
        </w:rPr>
        <w:t>R</w:t>
      </w:r>
      <w:r w:rsidR="00295DC7" w:rsidRPr="00481427">
        <w:rPr>
          <w:rFonts w:ascii="Palatino Linotype" w:hAnsi="Palatino Linotype"/>
        </w:rPr>
        <w:t xml:space="preserve"> evidence within local frameworks, ensuring that synthesized knowledge is timely, actionable, and aligned with national priorities</w:t>
      </w:r>
      <w:r w:rsidR="00B04D26" w:rsidRPr="00481427">
        <w:rPr>
          <w:rFonts w:ascii="Palatino Linotype" w:hAnsi="Palatino Linotype"/>
        </w:rPr>
        <w:t xml:space="preserve"> in South Asian countries</w:t>
      </w:r>
      <w:r w:rsidR="00DE067E" w:rsidRPr="00481427">
        <w:rPr>
          <w:rFonts w:ascii="Palatino Linotype" w:hAnsi="Palatino Linotype"/>
        </w:rPr>
        <w:t>.</w:t>
      </w:r>
      <w:r w:rsidR="00A02E66" w:rsidRPr="00481427">
        <w:rPr>
          <w:rFonts w:ascii="Palatino Linotype" w:hAnsi="Palatino Linotype"/>
        </w:rPr>
        <w:t xml:space="preserve"> </w:t>
      </w:r>
      <w:r w:rsidR="006D5FD5" w:rsidRPr="00481427">
        <w:rPr>
          <w:rFonts w:ascii="Palatino Linotype" w:hAnsi="Palatino Linotype"/>
        </w:rPr>
        <w:t xml:space="preserve">The knowledge </w:t>
      </w:r>
      <w:r w:rsidR="00295DC7" w:rsidRPr="00481427">
        <w:rPr>
          <w:rFonts w:ascii="Palatino Linotype" w:hAnsi="Palatino Linotype"/>
        </w:rPr>
        <w:t xml:space="preserve">partner will </w:t>
      </w:r>
      <w:r w:rsidR="00A02E66" w:rsidRPr="00481427">
        <w:rPr>
          <w:rFonts w:ascii="Palatino Linotype" w:hAnsi="Palatino Linotype"/>
        </w:rPr>
        <w:t xml:space="preserve">also </w:t>
      </w:r>
      <w:r w:rsidR="00295DC7" w:rsidRPr="00481427">
        <w:rPr>
          <w:rFonts w:ascii="Palatino Linotype" w:hAnsi="Palatino Linotype"/>
        </w:rPr>
        <w:t>support</w:t>
      </w:r>
      <w:r w:rsidR="00785D3C" w:rsidRPr="00481427">
        <w:rPr>
          <w:rFonts w:ascii="Palatino Linotype" w:hAnsi="Palatino Linotype"/>
        </w:rPr>
        <w:t xml:space="preserve"> in</w:t>
      </w:r>
      <w:r w:rsidR="00295DC7" w:rsidRPr="00481427">
        <w:rPr>
          <w:rFonts w:ascii="Palatino Linotype" w:hAnsi="Palatino Linotype"/>
        </w:rPr>
        <w:t xml:space="preserve"> capacity strengthening initiatives, foster knowledge translation</w:t>
      </w:r>
      <w:r w:rsidR="00ED215D" w:rsidRPr="00481427">
        <w:rPr>
          <w:rFonts w:ascii="Palatino Linotype" w:hAnsi="Palatino Linotype"/>
        </w:rPr>
        <w:t xml:space="preserve"> among our country partners in South Asia (</w:t>
      </w:r>
      <w:r w:rsidR="005C1411" w:rsidRPr="00481427">
        <w:rPr>
          <w:rFonts w:ascii="Palatino Linotype" w:hAnsi="Palatino Linotype"/>
        </w:rPr>
        <w:t xml:space="preserve">Afghanistan, Bangladesh, Bhutan, India, </w:t>
      </w:r>
      <w:r w:rsidR="00BA04AC" w:rsidRPr="00481427">
        <w:rPr>
          <w:rFonts w:ascii="Palatino Linotype" w:hAnsi="Palatino Linotype"/>
        </w:rPr>
        <w:t>Iran,</w:t>
      </w:r>
      <w:r w:rsidR="002919CE" w:rsidRPr="00481427">
        <w:rPr>
          <w:rFonts w:ascii="Palatino Linotype" w:hAnsi="Palatino Linotype"/>
        </w:rPr>
        <w:t xml:space="preserve"> Maldives, </w:t>
      </w:r>
      <w:r w:rsidR="005C1411" w:rsidRPr="00481427">
        <w:rPr>
          <w:rFonts w:ascii="Palatino Linotype" w:hAnsi="Palatino Linotype"/>
        </w:rPr>
        <w:t>Nepal</w:t>
      </w:r>
      <w:r w:rsidR="00295DC7" w:rsidRPr="00481427">
        <w:rPr>
          <w:rFonts w:ascii="Palatino Linotype" w:hAnsi="Palatino Linotype"/>
        </w:rPr>
        <w:t>,</w:t>
      </w:r>
      <w:r w:rsidR="00BA04AC" w:rsidRPr="00481427">
        <w:rPr>
          <w:rFonts w:ascii="Palatino Linotype" w:hAnsi="Palatino Linotype"/>
        </w:rPr>
        <w:t xml:space="preserve"> Sri Lanka</w:t>
      </w:r>
      <w:r w:rsidR="00584BC1">
        <w:rPr>
          <w:rFonts w:ascii="Palatino Linotype" w:hAnsi="Palatino Linotype"/>
        </w:rPr>
        <w:t>)</w:t>
      </w:r>
      <w:r w:rsidR="002538AA" w:rsidRPr="00481427">
        <w:rPr>
          <w:rFonts w:ascii="Palatino Linotype" w:hAnsi="Palatino Linotype"/>
        </w:rPr>
        <w:t>.</w:t>
      </w:r>
      <w:r w:rsidR="005D301C" w:rsidRPr="00481427">
        <w:rPr>
          <w:rFonts w:ascii="Palatino Linotype" w:hAnsi="Palatino Linotype"/>
        </w:rPr>
        <w:t xml:space="preserve"> </w:t>
      </w:r>
      <w:r w:rsidR="000D68CA" w:rsidRPr="00481427">
        <w:rPr>
          <w:rFonts w:ascii="Palatino Linotype" w:hAnsi="Palatino Linotype"/>
        </w:rPr>
        <w:t>To strengthen our evidence ecosystem and support knowledge translation across stakeholders</w:t>
      </w:r>
      <w:r w:rsidR="00295DC7" w:rsidRPr="00481427">
        <w:rPr>
          <w:rFonts w:ascii="Palatino Linotype" w:hAnsi="Palatino Linotype"/>
        </w:rPr>
        <w:t>,</w:t>
      </w:r>
      <w:r w:rsidR="00FF74C4" w:rsidRPr="00481427">
        <w:rPr>
          <w:rFonts w:ascii="Palatino Linotype" w:hAnsi="Palatino Linotype"/>
        </w:rPr>
        <w:t xml:space="preserve"> we seek to engage a knowledge partner with expertise in evidence synthesis, systematic </w:t>
      </w:r>
      <w:r w:rsidR="002B141D" w:rsidRPr="00481427">
        <w:rPr>
          <w:rFonts w:ascii="Palatino Linotype" w:hAnsi="Palatino Linotype"/>
        </w:rPr>
        <w:t>reviews</w:t>
      </w:r>
      <w:r w:rsidR="00CF3EBE" w:rsidRPr="00481427">
        <w:rPr>
          <w:rFonts w:ascii="Palatino Linotype" w:hAnsi="Palatino Linotype"/>
        </w:rPr>
        <w:t xml:space="preserve"> and </w:t>
      </w:r>
      <w:r w:rsidR="00BE6F0D" w:rsidRPr="00481427">
        <w:rPr>
          <w:rFonts w:ascii="Palatino Linotype" w:hAnsi="Palatino Linotype"/>
        </w:rPr>
        <w:t>meta-analysis</w:t>
      </w:r>
      <w:r w:rsidR="002B141D" w:rsidRPr="00481427">
        <w:rPr>
          <w:rFonts w:ascii="Palatino Linotype" w:hAnsi="Palatino Linotype"/>
        </w:rPr>
        <w:t xml:space="preserve">, writing policy brief </w:t>
      </w:r>
      <w:r w:rsidR="00BE6F0D" w:rsidRPr="00481427">
        <w:rPr>
          <w:rFonts w:ascii="Palatino Linotype" w:hAnsi="Palatino Linotype"/>
        </w:rPr>
        <w:t>and white paper as well as</w:t>
      </w:r>
      <w:r w:rsidR="00FF74C4" w:rsidRPr="00481427">
        <w:rPr>
          <w:rFonts w:ascii="Palatino Linotype" w:hAnsi="Palatino Linotype"/>
        </w:rPr>
        <w:t xml:space="preserve"> </w:t>
      </w:r>
      <w:r w:rsidR="002B141D" w:rsidRPr="00481427">
        <w:rPr>
          <w:rFonts w:ascii="Palatino Linotype" w:hAnsi="Palatino Linotype"/>
        </w:rPr>
        <w:t xml:space="preserve">capacity development for </w:t>
      </w:r>
      <w:r w:rsidR="00FF74C4" w:rsidRPr="00481427">
        <w:rPr>
          <w:rFonts w:ascii="Palatino Linotype" w:hAnsi="Palatino Linotype"/>
        </w:rPr>
        <w:t>knowledge translation within the SRH</w:t>
      </w:r>
      <w:r w:rsidR="00C134AA" w:rsidRPr="00481427">
        <w:rPr>
          <w:rFonts w:ascii="Palatino Linotype" w:hAnsi="Palatino Linotype"/>
        </w:rPr>
        <w:t>R</w:t>
      </w:r>
      <w:r w:rsidR="00FF74C4" w:rsidRPr="00481427">
        <w:rPr>
          <w:rFonts w:ascii="Palatino Linotype" w:hAnsi="Palatino Linotype"/>
        </w:rPr>
        <w:t xml:space="preserve"> domain.</w:t>
      </w:r>
      <w:r w:rsidR="00FF02AA" w:rsidRPr="00481427">
        <w:rPr>
          <w:rFonts w:ascii="Palatino Linotype" w:hAnsi="Palatino Linotype"/>
        </w:rPr>
        <w:t xml:space="preserve"> </w:t>
      </w:r>
    </w:p>
    <w:p w14:paraId="5A110BB6" w14:textId="12ED9C9B" w:rsidR="00B264CD" w:rsidRPr="00481427" w:rsidRDefault="00B264CD" w:rsidP="00AD1E33">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sidRPr="00481427">
        <w:rPr>
          <w:rFonts w:ascii="Palatino Linotype" w:hAnsi="Palatino Linotype"/>
          <w:color w:val="77206D" w:themeColor="accent5" w:themeShade="BF"/>
          <w:kern w:val="0"/>
          <w:sz w:val="28"/>
          <w:szCs w:val="28"/>
          <w14:ligatures w14:val="none"/>
        </w:rPr>
        <w:t>Objectives</w:t>
      </w:r>
    </w:p>
    <w:p w14:paraId="3D923870" w14:textId="5D2DDCD4" w:rsidR="007B2ABA" w:rsidRPr="00481427" w:rsidRDefault="007B2ABA" w:rsidP="00ED7524">
      <w:pPr>
        <w:jc w:val="both"/>
        <w:rPr>
          <w:rFonts w:ascii="Palatino Linotype" w:hAnsi="Palatino Linotype"/>
        </w:rPr>
      </w:pPr>
      <w:r w:rsidRPr="00481427">
        <w:rPr>
          <w:rFonts w:ascii="Palatino Linotype" w:hAnsi="Palatino Linotype"/>
        </w:rPr>
        <w:t xml:space="preserve">The objective is to engage a strategic knowledge partner with the expertise and capacity to lead comprehensive evidence synthesis and knowledge integration efforts in the field of sexual and reproductive health </w:t>
      </w:r>
      <w:r w:rsidR="00D73A66" w:rsidRPr="00481427">
        <w:rPr>
          <w:rFonts w:ascii="Palatino Linotype" w:hAnsi="Palatino Linotype"/>
        </w:rPr>
        <w:t>and rights</w:t>
      </w:r>
      <w:r w:rsidRPr="00481427">
        <w:rPr>
          <w:rFonts w:ascii="Palatino Linotype" w:hAnsi="Palatino Linotype"/>
        </w:rPr>
        <w:t>.</w:t>
      </w:r>
      <w:r w:rsidR="00D73A66" w:rsidRPr="00481427">
        <w:rPr>
          <w:rFonts w:ascii="Palatino Linotype" w:hAnsi="Palatino Linotype"/>
        </w:rPr>
        <w:t xml:space="preserve"> This collaboration will play a pivotal role in informing the development and implementation of policies, programs, and advocacy initiatives at global, regional, and national levels.</w:t>
      </w:r>
    </w:p>
    <w:p w14:paraId="393DD024" w14:textId="77777777" w:rsidR="001D23D6" w:rsidRPr="00481427" w:rsidRDefault="00DC5F4C" w:rsidP="006210BC">
      <w:pPr>
        <w:jc w:val="both"/>
        <w:rPr>
          <w:rFonts w:ascii="Palatino Linotype" w:hAnsi="Palatino Linotype"/>
        </w:rPr>
      </w:pPr>
      <w:r w:rsidRPr="00481427">
        <w:rPr>
          <w:rFonts w:ascii="Palatino Linotype" w:hAnsi="Palatino Linotype"/>
        </w:rPr>
        <w:t>The partner will be responsible for generating high-quality, evidence-based outputs—including scientific documentation, policy brief, white paper and landscape analyses—that translate evidence into accessible and actionable knowledge</w:t>
      </w:r>
      <w:r w:rsidR="00605911" w:rsidRPr="00481427">
        <w:rPr>
          <w:rFonts w:ascii="Palatino Linotype" w:hAnsi="Palatino Linotype"/>
        </w:rPr>
        <w:t xml:space="preserve"> to inform national and regional advocacy and programming on self-care interventions in sexual and reproductive health.</w:t>
      </w:r>
      <w:r w:rsidR="00ED5674" w:rsidRPr="00481427">
        <w:rPr>
          <w:rFonts w:ascii="Palatino Linotype" w:hAnsi="Palatino Linotype"/>
        </w:rPr>
        <w:t xml:space="preserve"> </w:t>
      </w:r>
      <w:r w:rsidR="009A72D8" w:rsidRPr="00481427">
        <w:rPr>
          <w:rFonts w:ascii="Palatino Linotype" w:hAnsi="Palatino Linotype"/>
        </w:rPr>
        <w:t xml:space="preserve">A particular focus will be placed on self-care interventions in SRH, ensuring that these resources </w:t>
      </w:r>
    </w:p>
    <w:p w14:paraId="603CA6BB" w14:textId="76A2A746" w:rsidR="00E95B54" w:rsidRPr="00481427" w:rsidRDefault="009A72D8" w:rsidP="00FE2E76">
      <w:pPr>
        <w:spacing w:after="360"/>
        <w:jc w:val="both"/>
        <w:rPr>
          <w:rFonts w:ascii="Palatino Linotype" w:hAnsi="Palatino Linotype"/>
        </w:rPr>
      </w:pPr>
      <w:r w:rsidRPr="00481427">
        <w:rPr>
          <w:rFonts w:ascii="Palatino Linotype" w:hAnsi="Palatino Linotype"/>
        </w:rPr>
        <w:lastRenderedPageBreak/>
        <w:t xml:space="preserve">effectively support national and regional advocacy, guide program design, and strengthen decision-making. </w:t>
      </w:r>
      <w:r w:rsidR="006210BC" w:rsidRPr="00481427">
        <w:rPr>
          <w:rFonts w:ascii="Palatino Linotype" w:hAnsi="Palatino Linotype"/>
        </w:rPr>
        <w:t>T</w:t>
      </w:r>
      <w:r w:rsidRPr="00481427">
        <w:rPr>
          <w:rFonts w:ascii="Palatino Linotype" w:hAnsi="Palatino Linotype"/>
        </w:rPr>
        <w:t>his partnership aims to enhance the uptake and impact of self-care strategies in SRH, ultimately advancing health equity and access.</w:t>
      </w:r>
      <w:r w:rsidR="00C82FF5" w:rsidRPr="00C82FF5">
        <w:rPr>
          <w:rFonts w:ascii="Palatino Linotype" w:hAnsi="Palatino Linotype"/>
        </w:rPr>
        <w:t xml:space="preserve"> </w:t>
      </w:r>
      <w:r w:rsidR="00C82FF5">
        <w:rPr>
          <w:rFonts w:ascii="Palatino Linotype" w:hAnsi="Palatino Linotype"/>
        </w:rPr>
        <w:t>Additionally,</w:t>
      </w:r>
      <w:r w:rsidR="00C82FF5" w:rsidRPr="00481427">
        <w:rPr>
          <w:rFonts w:ascii="Palatino Linotype" w:hAnsi="Palatino Linotype"/>
        </w:rPr>
        <w:t xml:space="preserve"> capacity development for knowledge translation within the SRHR domain. </w:t>
      </w:r>
    </w:p>
    <w:p w14:paraId="49975B51" w14:textId="33D5ED8B" w:rsidR="00AD1E33" w:rsidRPr="00481427" w:rsidRDefault="0092068B" w:rsidP="0092068B">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sidRPr="00481427">
        <w:rPr>
          <w:rFonts w:ascii="Palatino Linotype" w:hAnsi="Palatino Linotype"/>
          <w:color w:val="77206D" w:themeColor="accent5" w:themeShade="BF"/>
          <w:kern w:val="0"/>
          <w:sz w:val="28"/>
          <w:szCs w:val="28"/>
          <w14:ligatures w14:val="none"/>
        </w:rPr>
        <w:t>Scope of Work</w:t>
      </w:r>
      <w:r w:rsidR="002A5095" w:rsidRPr="00481427">
        <w:rPr>
          <w:rFonts w:ascii="Palatino Linotype" w:hAnsi="Palatino Linotype"/>
          <w:color w:val="77206D" w:themeColor="accent5" w:themeShade="BF"/>
          <w:kern w:val="0"/>
          <w:sz w:val="28"/>
          <w:szCs w:val="28"/>
          <w14:ligatures w14:val="none"/>
        </w:rPr>
        <w:t xml:space="preserve"> and Deliverables</w:t>
      </w:r>
    </w:p>
    <w:p w14:paraId="57B53D51" w14:textId="77777777" w:rsidR="007F5BC3" w:rsidRPr="00481427" w:rsidRDefault="007F5BC3" w:rsidP="007F5BC3">
      <w:pPr>
        <w:rPr>
          <w:rFonts w:ascii="Palatino Linotype" w:hAnsi="Palatino Linotype"/>
        </w:rPr>
      </w:pPr>
      <w:r w:rsidRPr="00481427">
        <w:rPr>
          <w:rFonts w:ascii="Palatino Linotype" w:hAnsi="Palatino Linotype"/>
        </w:rPr>
        <w:t>The Knowledge Partner will be responsible for the following deliverables:</w:t>
      </w:r>
    </w:p>
    <w:p w14:paraId="676B497F" w14:textId="314070FC" w:rsidR="00332741" w:rsidRPr="00481427" w:rsidRDefault="00A901CE" w:rsidP="002D5D91">
      <w:pPr>
        <w:pStyle w:val="ListParagraph"/>
        <w:numPr>
          <w:ilvl w:val="0"/>
          <w:numId w:val="3"/>
        </w:numPr>
        <w:ind w:left="0" w:firstLine="0"/>
        <w:jc w:val="both"/>
        <w:rPr>
          <w:rFonts w:ascii="Palatino Linotype" w:hAnsi="Palatino Linotype"/>
        </w:rPr>
      </w:pPr>
      <w:r w:rsidRPr="00481427">
        <w:rPr>
          <w:rFonts w:ascii="Palatino Linotype" w:eastAsiaTheme="majorEastAsia" w:hAnsi="Palatino Linotype" w:cstheme="majorBidi"/>
          <w:b/>
          <w:bCs/>
          <w:color w:val="77206D" w:themeColor="accent5" w:themeShade="BF"/>
          <w:kern w:val="0"/>
          <w:sz w:val="24"/>
          <w:szCs w:val="24"/>
          <w14:ligatures w14:val="none"/>
        </w:rPr>
        <w:t>Systematic Review Document and Policy Brief on Self-Injectable Contraceptives</w:t>
      </w:r>
      <w:r w:rsidR="009C53F0" w:rsidRPr="00481427">
        <w:rPr>
          <w:rFonts w:ascii="Palatino Linotype" w:eastAsiaTheme="majorEastAsia" w:hAnsi="Palatino Linotype" w:cstheme="majorBidi"/>
          <w:b/>
          <w:bCs/>
          <w:color w:val="77206D" w:themeColor="accent5" w:themeShade="BF"/>
          <w:kern w:val="0"/>
          <w:sz w:val="24"/>
          <w:szCs w:val="24"/>
          <w14:ligatures w14:val="none"/>
        </w:rPr>
        <w:t>:</w:t>
      </w:r>
      <w:r w:rsidR="009C53F0" w:rsidRPr="00481427">
        <w:rPr>
          <w:rFonts w:ascii="Palatino Linotype" w:hAnsi="Palatino Linotype"/>
          <w:b/>
          <w:bCs/>
        </w:rPr>
        <w:t xml:space="preserve"> </w:t>
      </w:r>
      <w:r w:rsidR="009C53F0" w:rsidRPr="00481427">
        <w:rPr>
          <w:rFonts w:ascii="Palatino Linotype" w:hAnsi="Palatino Linotype"/>
        </w:rPr>
        <w:t>Self-injectable contraceptives, such as subcutaneous depot medroxyprogesterone acetate (</w:t>
      </w:r>
      <w:r w:rsidR="001F46EB" w:rsidRPr="00481427">
        <w:rPr>
          <w:rFonts w:ascii="Palatino Linotype" w:hAnsi="Palatino Linotype"/>
        </w:rPr>
        <w:t>SC-</w:t>
      </w:r>
      <w:r w:rsidR="009C53F0" w:rsidRPr="00481427">
        <w:rPr>
          <w:rFonts w:ascii="Palatino Linotype" w:hAnsi="Palatino Linotype"/>
        </w:rPr>
        <w:t>DMPA), have emerged as an innovative and user-</w:t>
      </w:r>
      <w:proofErr w:type="spellStart"/>
      <w:r w:rsidR="009C53F0" w:rsidRPr="00481427">
        <w:rPr>
          <w:rFonts w:ascii="Palatino Linotype" w:hAnsi="Palatino Linotype"/>
        </w:rPr>
        <w:t>centered</w:t>
      </w:r>
      <w:proofErr w:type="spellEnd"/>
      <w:r w:rsidR="009C53F0" w:rsidRPr="00481427">
        <w:rPr>
          <w:rFonts w:ascii="Palatino Linotype" w:hAnsi="Palatino Linotype"/>
        </w:rPr>
        <w:t xml:space="preserve"> approach to expanding contraceptive </w:t>
      </w:r>
      <w:r w:rsidR="00FA5204" w:rsidRPr="00481427">
        <w:rPr>
          <w:rFonts w:ascii="Palatino Linotype" w:hAnsi="Palatino Linotype"/>
        </w:rPr>
        <w:t xml:space="preserve">choice and </w:t>
      </w:r>
      <w:r w:rsidR="009C53F0" w:rsidRPr="00481427">
        <w:rPr>
          <w:rFonts w:ascii="Palatino Linotype" w:hAnsi="Palatino Linotype"/>
        </w:rPr>
        <w:t xml:space="preserve">access. Evidence suggests that self-injection can enhance autonomy, improve continuation rates, and reduce health system burden. However, </w:t>
      </w:r>
      <w:r w:rsidR="00ED36F7" w:rsidRPr="00481427">
        <w:rPr>
          <w:rFonts w:ascii="Palatino Linotype" w:hAnsi="Palatino Linotype"/>
        </w:rPr>
        <w:t>there are limited documentation</w:t>
      </w:r>
      <w:r w:rsidR="00942119" w:rsidRPr="00481427">
        <w:rPr>
          <w:rFonts w:ascii="Palatino Linotype" w:hAnsi="Palatino Linotype"/>
        </w:rPr>
        <w:t xml:space="preserve"> on the successful implementation on SC-DMA and policy recommendation for </w:t>
      </w:r>
      <w:r w:rsidR="00F709E7" w:rsidRPr="00481427">
        <w:rPr>
          <w:rFonts w:ascii="Palatino Linotype" w:hAnsi="Palatino Linotype"/>
        </w:rPr>
        <w:t>implementation</w:t>
      </w:r>
      <w:r w:rsidR="009C53F0" w:rsidRPr="00481427">
        <w:rPr>
          <w:rFonts w:ascii="Palatino Linotype" w:hAnsi="Palatino Linotype"/>
        </w:rPr>
        <w:t>.</w:t>
      </w:r>
      <w:r w:rsidR="00332741" w:rsidRPr="00481427">
        <w:rPr>
          <w:rFonts w:ascii="Palatino Linotype" w:hAnsi="Palatino Linotype"/>
        </w:rPr>
        <w:t xml:space="preserve"> To synthesize existing global and regional evidence on the use, effectiveness, acceptability, implementation models, and policy implications of self-injectable contraceptives and translate findings into an actionable policy brief.</w:t>
      </w:r>
      <w:r w:rsidR="00704696" w:rsidRPr="00481427">
        <w:rPr>
          <w:rFonts w:ascii="Palatino Linotype" w:hAnsi="Palatino Linotype"/>
        </w:rPr>
        <w:t xml:space="preserve"> </w:t>
      </w:r>
      <w:r w:rsidR="00B24991" w:rsidRPr="00481427">
        <w:rPr>
          <w:rFonts w:ascii="Palatino Linotype" w:hAnsi="Palatino Linotype"/>
        </w:rPr>
        <w:t>Therefore, the</w:t>
      </w:r>
      <w:r w:rsidR="00704696" w:rsidRPr="00481427">
        <w:rPr>
          <w:rFonts w:ascii="Palatino Linotype" w:hAnsi="Palatino Linotype"/>
        </w:rPr>
        <w:t xml:space="preserve"> deliverable for this </w:t>
      </w:r>
      <w:r w:rsidR="00B24991" w:rsidRPr="00481427">
        <w:rPr>
          <w:rFonts w:ascii="Palatino Linotype" w:hAnsi="Palatino Linotype"/>
        </w:rPr>
        <w:t>activity would be -</w:t>
      </w:r>
    </w:p>
    <w:p w14:paraId="65E4F492" w14:textId="77777777" w:rsidR="00706586" w:rsidRPr="00481427" w:rsidRDefault="00A045D0" w:rsidP="00EF1D32">
      <w:pPr>
        <w:shd w:val="clear" w:color="auto" w:fill="FBEFFA"/>
        <w:jc w:val="both"/>
        <w:rPr>
          <w:rFonts w:ascii="Palatino Linotype" w:hAnsi="Palatino Linotype"/>
          <w:b/>
          <w:bCs/>
        </w:rPr>
      </w:pPr>
      <w:r w:rsidRPr="00481427">
        <w:rPr>
          <w:rFonts w:ascii="Palatino Linotype" w:hAnsi="Palatino Linotype"/>
          <w:b/>
          <w:bCs/>
        </w:rPr>
        <w:t>Deliverable</w:t>
      </w:r>
      <w:r w:rsidR="00F95763" w:rsidRPr="00481427">
        <w:rPr>
          <w:rFonts w:ascii="Palatino Linotype" w:hAnsi="Palatino Linotype"/>
          <w:b/>
          <w:bCs/>
        </w:rPr>
        <w:t xml:space="preserve"> 1</w:t>
      </w:r>
      <w:r w:rsidRPr="00481427">
        <w:rPr>
          <w:rFonts w:ascii="Palatino Linotype" w:hAnsi="Palatino Linotype"/>
          <w:b/>
          <w:bCs/>
        </w:rPr>
        <w:t xml:space="preserve">: </w:t>
      </w:r>
      <w:r w:rsidR="00706586" w:rsidRPr="00481427">
        <w:rPr>
          <w:rFonts w:ascii="Palatino Linotype" w:hAnsi="Palatino Linotype"/>
          <w:b/>
          <w:bCs/>
        </w:rPr>
        <w:t xml:space="preserve">a. </w:t>
      </w:r>
      <w:r w:rsidR="00512C2D" w:rsidRPr="00481427">
        <w:rPr>
          <w:rFonts w:ascii="Palatino Linotype" w:hAnsi="Palatino Linotype"/>
          <w:b/>
          <w:bCs/>
        </w:rPr>
        <w:t>Prepare</w:t>
      </w:r>
      <w:r w:rsidR="009C53F0" w:rsidRPr="00481427">
        <w:rPr>
          <w:rFonts w:ascii="Palatino Linotype" w:hAnsi="Palatino Linotype"/>
          <w:b/>
          <w:bCs/>
        </w:rPr>
        <w:t xml:space="preserve"> systematic review </w:t>
      </w:r>
      <w:r w:rsidR="00A3363E" w:rsidRPr="00481427">
        <w:rPr>
          <w:rFonts w:ascii="Palatino Linotype" w:hAnsi="Palatino Linotype"/>
          <w:b/>
          <w:bCs/>
        </w:rPr>
        <w:t>document</w:t>
      </w:r>
      <w:r w:rsidR="009C53F0" w:rsidRPr="00481427">
        <w:rPr>
          <w:rFonts w:ascii="Palatino Linotype" w:hAnsi="Palatino Linotype"/>
          <w:b/>
          <w:bCs/>
        </w:rPr>
        <w:t xml:space="preserve"> </w:t>
      </w:r>
      <w:r w:rsidR="00162FD2" w:rsidRPr="00481427">
        <w:rPr>
          <w:rFonts w:ascii="Palatino Linotype" w:hAnsi="Palatino Linotype"/>
          <w:b/>
          <w:bCs/>
        </w:rPr>
        <w:t xml:space="preserve">on </w:t>
      </w:r>
      <w:r w:rsidR="009C53F0" w:rsidRPr="00481427">
        <w:rPr>
          <w:rFonts w:ascii="Palatino Linotype" w:hAnsi="Palatino Linotype"/>
          <w:b/>
          <w:bCs/>
        </w:rPr>
        <w:t>self-injectables</w:t>
      </w:r>
      <w:r w:rsidR="000F0FDF" w:rsidRPr="00481427">
        <w:rPr>
          <w:rFonts w:ascii="Palatino Linotype" w:hAnsi="Palatino Linotype"/>
          <w:b/>
          <w:bCs/>
        </w:rPr>
        <w:t>, use, implementation success stories</w:t>
      </w:r>
      <w:r w:rsidR="006E32E0" w:rsidRPr="00481427">
        <w:rPr>
          <w:rFonts w:ascii="Palatino Linotype" w:hAnsi="Palatino Linotype"/>
          <w:b/>
          <w:bCs/>
        </w:rPr>
        <w:t xml:space="preserve"> </w:t>
      </w:r>
      <w:r w:rsidR="009C53F0" w:rsidRPr="00481427">
        <w:rPr>
          <w:rFonts w:ascii="Palatino Linotype" w:hAnsi="Palatino Linotype"/>
          <w:b/>
          <w:bCs/>
        </w:rPr>
        <w:t xml:space="preserve">and </w:t>
      </w:r>
    </w:p>
    <w:p w14:paraId="5938AF17" w14:textId="5B3F92DC" w:rsidR="009C53F0" w:rsidRPr="00481427" w:rsidRDefault="00706586" w:rsidP="00EF1D32">
      <w:pPr>
        <w:shd w:val="clear" w:color="auto" w:fill="FBEFFA"/>
        <w:jc w:val="both"/>
        <w:rPr>
          <w:rFonts w:ascii="Palatino Linotype" w:hAnsi="Palatino Linotype"/>
          <w:b/>
          <w:bCs/>
        </w:rPr>
      </w:pPr>
      <w:r w:rsidRPr="00481427">
        <w:rPr>
          <w:rFonts w:ascii="Palatino Linotype" w:hAnsi="Palatino Linotype"/>
          <w:b/>
          <w:bCs/>
        </w:rPr>
        <w:t xml:space="preserve">b. </w:t>
      </w:r>
      <w:r w:rsidR="00E3281D" w:rsidRPr="00481427">
        <w:rPr>
          <w:rFonts w:ascii="Palatino Linotype" w:hAnsi="Palatino Linotype"/>
          <w:b/>
          <w:bCs/>
        </w:rPr>
        <w:t>D</w:t>
      </w:r>
      <w:r w:rsidR="009C53F0" w:rsidRPr="00481427">
        <w:rPr>
          <w:rFonts w:ascii="Palatino Linotype" w:hAnsi="Palatino Linotype"/>
          <w:b/>
          <w:bCs/>
        </w:rPr>
        <w:t xml:space="preserve">evelop a policy brief </w:t>
      </w:r>
      <w:r w:rsidR="00EB3201" w:rsidRPr="00481427">
        <w:rPr>
          <w:rFonts w:ascii="Palatino Linotype" w:hAnsi="Palatino Linotype"/>
          <w:b/>
          <w:bCs/>
        </w:rPr>
        <w:t xml:space="preserve">mentioning implementation model </w:t>
      </w:r>
      <w:r w:rsidR="00957CD9" w:rsidRPr="00481427">
        <w:rPr>
          <w:rFonts w:ascii="Palatino Linotype" w:hAnsi="Palatino Linotype"/>
          <w:b/>
          <w:bCs/>
        </w:rPr>
        <w:t>with clear recommendation</w:t>
      </w:r>
      <w:r w:rsidR="00584BC1">
        <w:rPr>
          <w:rFonts w:ascii="Palatino Linotype" w:hAnsi="Palatino Linotype"/>
          <w:b/>
          <w:bCs/>
        </w:rPr>
        <w:t>s</w:t>
      </w:r>
      <w:r w:rsidR="00957CD9" w:rsidRPr="00481427">
        <w:rPr>
          <w:rFonts w:ascii="Palatino Linotype" w:hAnsi="Palatino Linotype"/>
          <w:b/>
          <w:bCs/>
        </w:rPr>
        <w:t xml:space="preserve"> </w:t>
      </w:r>
      <w:r w:rsidR="009C53F0" w:rsidRPr="00481427">
        <w:rPr>
          <w:rFonts w:ascii="Palatino Linotype" w:hAnsi="Palatino Linotype"/>
          <w:b/>
          <w:bCs/>
        </w:rPr>
        <w:t xml:space="preserve">to inform national and regional </w:t>
      </w:r>
      <w:r w:rsidR="00957CD9" w:rsidRPr="00481427">
        <w:rPr>
          <w:rFonts w:ascii="Palatino Linotype" w:hAnsi="Palatino Linotype"/>
          <w:b/>
          <w:bCs/>
        </w:rPr>
        <w:t xml:space="preserve">policy advocacy and </w:t>
      </w:r>
      <w:r w:rsidR="009C53F0" w:rsidRPr="00481427">
        <w:rPr>
          <w:rFonts w:ascii="Palatino Linotype" w:hAnsi="Palatino Linotype"/>
          <w:b/>
          <w:bCs/>
        </w:rPr>
        <w:t>decision-making.</w:t>
      </w:r>
    </w:p>
    <w:p w14:paraId="0CD09EAA" w14:textId="68DF38B7" w:rsidR="00462801" w:rsidRPr="00481427" w:rsidRDefault="000944E3" w:rsidP="00462801">
      <w:pPr>
        <w:pStyle w:val="ListParagraph"/>
        <w:numPr>
          <w:ilvl w:val="0"/>
          <w:numId w:val="3"/>
        </w:numPr>
        <w:ind w:left="0" w:firstLine="0"/>
        <w:jc w:val="both"/>
        <w:rPr>
          <w:rFonts w:ascii="Palatino Linotype" w:hAnsi="Palatino Linotype"/>
        </w:rPr>
      </w:pPr>
      <w:r w:rsidRPr="00481427">
        <w:rPr>
          <w:rFonts w:ascii="Palatino Linotype" w:eastAsiaTheme="majorEastAsia" w:hAnsi="Palatino Linotype" w:cstheme="majorBidi"/>
          <w:b/>
          <w:bCs/>
          <w:color w:val="77206D" w:themeColor="accent5" w:themeShade="BF"/>
          <w:kern w:val="0"/>
          <w:sz w:val="24"/>
          <w:szCs w:val="24"/>
          <w14:ligatures w14:val="none"/>
        </w:rPr>
        <w:t>Policy Brief on Task Sharing for Abortion and Contraception Services:</w:t>
      </w:r>
      <w:r w:rsidRPr="00481427">
        <w:rPr>
          <w:rFonts w:ascii="Palatino Linotype" w:hAnsi="Palatino Linotype"/>
        </w:rPr>
        <w:t xml:space="preserve"> </w:t>
      </w:r>
      <w:r w:rsidR="00BD76B7" w:rsidRPr="00481427">
        <w:rPr>
          <w:rFonts w:ascii="Palatino Linotype" w:hAnsi="Palatino Linotype"/>
        </w:rPr>
        <w:t xml:space="preserve">Access to safe abortion and quality contraception services remains limited in many low- and middle-income countries due to health workforce shortages, restrictive laws, and overmedicalization of reproductive healthcare. Task sharing—defined as the rational redistribution of tasks among health workforce teams—has been recognized by the World Health Organization (WHO) as a key strategy to expand access to essential sexual and reproductive health (SRH) services, particularly </w:t>
      </w:r>
      <w:r w:rsidR="00584BC1">
        <w:rPr>
          <w:rFonts w:ascii="Palatino Linotype" w:hAnsi="Palatino Linotype"/>
        </w:rPr>
        <w:t xml:space="preserve">safe </w:t>
      </w:r>
      <w:r w:rsidR="00BD76B7" w:rsidRPr="00481427">
        <w:rPr>
          <w:rFonts w:ascii="Palatino Linotype" w:hAnsi="Palatino Linotype"/>
        </w:rPr>
        <w:t>abortion and contraception.</w:t>
      </w:r>
      <w:r w:rsidR="0072766F" w:rsidRPr="00481427">
        <w:rPr>
          <w:rFonts w:ascii="Palatino Linotype" w:hAnsi="Palatino Linotype"/>
        </w:rPr>
        <w:t xml:space="preserve"> In South Asia region, few countries have </w:t>
      </w:r>
      <w:r w:rsidR="00016034" w:rsidRPr="00481427">
        <w:rPr>
          <w:rFonts w:ascii="Palatino Linotype" w:hAnsi="Palatino Linotype"/>
        </w:rPr>
        <w:t>successful model of task sharing which other coun</w:t>
      </w:r>
      <w:r w:rsidR="00FD22DE" w:rsidRPr="00481427">
        <w:rPr>
          <w:rFonts w:ascii="Palatino Linotype" w:hAnsi="Palatino Linotype"/>
        </w:rPr>
        <w:t>tries can adapt by doing strategic advocacy</w:t>
      </w:r>
      <w:r w:rsidR="00584BC1">
        <w:rPr>
          <w:rFonts w:ascii="Palatino Linotype" w:hAnsi="Palatino Linotype"/>
        </w:rPr>
        <w:t xml:space="preserve"> </w:t>
      </w:r>
      <w:r w:rsidR="001B468A" w:rsidRPr="00481427">
        <w:rPr>
          <w:rFonts w:ascii="Palatino Linotype" w:hAnsi="Palatino Linotype"/>
        </w:rPr>
        <w:t>but th</w:t>
      </w:r>
      <w:r w:rsidR="009C65D8" w:rsidRPr="00481427">
        <w:rPr>
          <w:rFonts w:ascii="Palatino Linotype" w:hAnsi="Palatino Linotype"/>
        </w:rPr>
        <w:t xml:space="preserve">ere is dearth of evidence </w:t>
      </w:r>
      <w:r w:rsidR="00686A23" w:rsidRPr="00481427">
        <w:rPr>
          <w:rFonts w:ascii="Palatino Linotype" w:hAnsi="Palatino Linotype"/>
        </w:rPr>
        <w:t xml:space="preserve">highlighting this regional context and needs. With this backdrop, </w:t>
      </w:r>
      <w:r w:rsidR="00462801" w:rsidRPr="00481427">
        <w:rPr>
          <w:rFonts w:ascii="Palatino Linotype" w:hAnsi="Palatino Linotype"/>
        </w:rPr>
        <w:t>the deliverable for this activity would be -</w:t>
      </w:r>
    </w:p>
    <w:p w14:paraId="5EFA6392" w14:textId="2C0CE1B3" w:rsidR="00BD76B7" w:rsidRPr="00481427" w:rsidRDefault="00F95763" w:rsidP="00EF1D32">
      <w:pPr>
        <w:shd w:val="clear" w:color="auto" w:fill="FCF2FB"/>
        <w:jc w:val="both"/>
        <w:rPr>
          <w:rFonts w:ascii="Palatino Linotype" w:hAnsi="Palatino Linotype"/>
          <w:b/>
          <w:bCs/>
        </w:rPr>
      </w:pPr>
      <w:r w:rsidRPr="00481427">
        <w:rPr>
          <w:rFonts w:ascii="Palatino Linotype" w:hAnsi="Palatino Linotype"/>
          <w:b/>
          <w:bCs/>
        </w:rPr>
        <w:t xml:space="preserve">Deliverable 2: </w:t>
      </w:r>
      <w:r w:rsidR="00462801" w:rsidRPr="00481427">
        <w:rPr>
          <w:rFonts w:ascii="Palatino Linotype" w:hAnsi="Palatino Linotype"/>
          <w:b/>
          <w:bCs/>
        </w:rPr>
        <w:t xml:space="preserve">To develop a </w:t>
      </w:r>
      <w:r w:rsidR="00BD76B7" w:rsidRPr="00481427">
        <w:rPr>
          <w:rFonts w:ascii="Palatino Linotype" w:hAnsi="Palatino Linotype"/>
          <w:b/>
          <w:bCs/>
        </w:rPr>
        <w:t xml:space="preserve">policy brief </w:t>
      </w:r>
      <w:r w:rsidR="004301D5">
        <w:rPr>
          <w:rFonts w:ascii="Palatino Linotype" w:hAnsi="Palatino Linotype"/>
          <w:b/>
          <w:bCs/>
        </w:rPr>
        <w:t xml:space="preserve">which will </w:t>
      </w:r>
      <w:r w:rsidR="00BD76B7" w:rsidRPr="00481427">
        <w:rPr>
          <w:rFonts w:ascii="Palatino Linotype" w:hAnsi="Palatino Linotype"/>
          <w:b/>
          <w:bCs/>
        </w:rPr>
        <w:t xml:space="preserve">synthesize global </w:t>
      </w:r>
      <w:r w:rsidR="00462801" w:rsidRPr="00481427">
        <w:rPr>
          <w:rFonts w:ascii="Palatino Linotype" w:hAnsi="Palatino Linotype"/>
          <w:b/>
          <w:bCs/>
        </w:rPr>
        <w:t xml:space="preserve">and regional </w:t>
      </w:r>
      <w:r w:rsidR="00BD76B7" w:rsidRPr="00481427">
        <w:rPr>
          <w:rFonts w:ascii="Palatino Linotype" w:hAnsi="Palatino Linotype"/>
          <w:b/>
          <w:bCs/>
        </w:rPr>
        <w:t>evidence and guidance on task sharing, highlight successful programmatic models, and provide actionable policy recommendations</w:t>
      </w:r>
      <w:r w:rsidR="00B01D3C" w:rsidRPr="00481427">
        <w:rPr>
          <w:rFonts w:ascii="Palatino Linotype" w:hAnsi="Palatino Linotype"/>
          <w:b/>
          <w:bCs/>
        </w:rPr>
        <w:t>.</w:t>
      </w:r>
    </w:p>
    <w:p w14:paraId="4C83331D" w14:textId="04777F0A" w:rsidR="001C648B" w:rsidRPr="00481427" w:rsidRDefault="004A717F">
      <w:pPr>
        <w:pStyle w:val="ListParagraph"/>
        <w:numPr>
          <w:ilvl w:val="0"/>
          <w:numId w:val="3"/>
        </w:numPr>
        <w:ind w:left="0" w:firstLine="0"/>
        <w:jc w:val="both"/>
        <w:rPr>
          <w:rFonts w:ascii="Palatino Linotype" w:hAnsi="Palatino Linotype"/>
          <w:b/>
          <w:bCs/>
        </w:rPr>
      </w:pPr>
      <w:r w:rsidRPr="00481427">
        <w:rPr>
          <w:rFonts w:ascii="Palatino Linotype" w:eastAsiaTheme="majorEastAsia" w:hAnsi="Palatino Linotype" w:cstheme="majorBidi"/>
          <w:b/>
          <w:bCs/>
          <w:color w:val="77206D" w:themeColor="accent5" w:themeShade="BF"/>
          <w:kern w:val="0"/>
          <w:sz w:val="24"/>
          <w:szCs w:val="24"/>
          <w14:ligatures w14:val="none"/>
        </w:rPr>
        <w:t>White paper</w:t>
      </w:r>
      <w:r w:rsidR="00177138" w:rsidRPr="00481427">
        <w:rPr>
          <w:rFonts w:ascii="Palatino Linotype" w:eastAsiaTheme="majorEastAsia" w:hAnsi="Palatino Linotype" w:cstheme="majorBidi"/>
          <w:b/>
          <w:bCs/>
          <w:color w:val="77206D" w:themeColor="accent5" w:themeShade="BF"/>
          <w:kern w:val="0"/>
          <w:sz w:val="24"/>
          <w:szCs w:val="24"/>
          <w14:ligatures w14:val="none"/>
        </w:rPr>
        <w:t xml:space="preserve"> on </w:t>
      </w:r>
      <w:r w:rsidR="006C56F2" w:rsidRPr="00481427">
        <w:rPr>
          <w:rFonts w:ascii="Palatino Linotype" w:eastAsiaTheme="majorEastAsia" w:hAnsi="Palatino Linotype" w:cstheme="majorBidi"/>
          <w:b/>
          <w:bCs/>
          <w:color w:val="77206D" w:themeColor="accent5" w:themeShade="BF"/>
          <w:kern w:val="0"/>
          <w:sz w:val="24"/>
          <w:szCs w:val="24"/>
          <w14:ligatures w14:val="none"/>
        </w:rPr>
        <w:t xml:space="preserve">Digital Health </w:t>
      </w:r>
      <w:r w:rsidR="00104147" w:rsidRPr="00481427">
        <w:rPr>
          <w:rFonts w:ascii="Palatino Linotype" w:eastAsiaTheme="majorEastAsia" w:hAnsi="Palatino Linotype" w:cstheme="majorBidi"/>
          <w:b/>
          <w:bCs/>
          <w:color w:val="77206D" w:themeColor="accent5" w:themeShade="BF"/>
          <w:kern w:val="0"/>
          <w:sz w:val="24"/>
          <w:szCs w:val="24"/>
          <w14:ligatures w14:val="none"/>
        </w:rPr>
        <w:t>Init</w:t>
      </w:r>
      <w:r w:rsidR="00F06818" w:rsidRPr="00481427">
        <w:rPr>
          <w:rFonts w:ascii="Palatino Linotype" w:eastAsiaTheme="majorEastAsia" w:hAnsi="Palatino Linotype" w:cstheme="majorBidi"/>
          <w:b/>
          <w:bCs/>
          <w:color w:val="77206D" w:themeColor="accent5" w:themeShade="BF"/>
          <w:kern w:val="0"/>
          <w:sz w:val="24"/>
          <w:szCs w:val="24"/>
          <w14:ligatures w14:val="none"/>
        </w:rPr>
        <w:t>iatives to</w:t>
      </w:r>
      <w:r w:rsidR="006C56F2" w:rsidRPr="00481427">
        <w:rPr>
          <w:rFonts w:ascii="Palatino Linotype" w:eastAsiaTheme="majorEastAsia" w:hAnsi="Palatino Linotype" w:cstheme="majorBidi"/>
          <w:b/>
          <w:bCs/>
          <w:color w:val="77206D" w:themeColor="accent5" w:themeShade="BF"/>
          <w:kern w:val="0"/>
          <w:sz w:val="24"/>
          <w:szCs w:val="24"/>
          <w14:ligatures w14:val="none"/>
        </w:rPr>
        <w:t xml:space="preserve"> Expand Access</w:t>
      </w:r>
      <w:r w:rsidR="00F06818" w:rsidRPr="00481427">
        <w:rPr>
          <w:rFonts w:ascii="Palatino Linotype" w:eastAsiaTheme="majorEastAsia" w:hAnsi="Palatino Linotype" w:cstheme="majorBidi"/>
          <w:b/>
          <w:bCs/>
          <w:color w:val="77206D" w:themeColor="accent5" w:themeShade="BF"/>
          <w:kern w:val="0"/>
          <w:sz w:val="24"/>
          <w:szCs w:val="24"/>
          <w14:ligatures w14:val="none"/>
        </w:rPr>
        <w:t xml:space="preserve"> and </w:t>
      </w:r>
      <w:r w:rsidR="00F5143C" w:rsidRPr="00481427">
        <w:rPr>
          <w:rFonts w:ascii="Palatino Linotype" w:eastAsiaTheme="majorEastAsia" w:hAnsi="Palatino Linotype" w:cstheme="majorBidi"/>
          <w:b/>
          <w:bCs/>
          <w:color w:val="77206D" w:themeColor="accent5" w:themeShade="BF"/>
          <w:kern w:val="0"/>
          <w:sz w:val="24"/>
          <w:szCs w:val="24"/>
          <w14:ligatures w14:val="none"/>
        </w:rPr>
        <w:t>S</w:t>
      </w:r>
      <w:r w:rsidR="00F06818" w:rsidRPr="00481427">
        <w:rPr>
          <w:rFonts w:ascii="Palatino Linotype" w:eastAsiaTheme="majorEastAsia" w:hAnsi="Palatino Linotype" w:cstheme="majorBidi"/>
          <w:b/>
          <w:bCs/>
          <w:color w:val="77206D" w:themeColor="accent5" w:themeShade="BF"/>
          <w:kern w:val="0"/>
          <w:sz w:val="24"/>
          <w:szCs w:val="24"/>
          <w14:ligatures w14:val="none"/>
        </w:rPr>
        <w:t>upport</w:t>
      </w:r>
      <w:r w:rsidR="006C56F2" w:rsidRPr="00481427">
        <w:rPr>
          <w:rFonts w:ascii="Palatino Linotype" w:eastAsiaTheme="majorEastAsia" w:hAnsi="Palatino Linotype" w:cstheme="majorBidi"/>
          <w:b/>
          <w:bCs/>
          <w:color w:val="77206D" w:themeColor="accent5" w:themeShade="BF"/>
          <w:kern w:val="0"/>
          <w:sz w:val="24"/>
          <w:szCs w:val="24"/>
          <w14:ligatures w14:val="none"/>
        </w:rPr>
        <w:t xml:space="preserve"> to </w:t>
      </w:r>
      <w:r w:rsidR="00EC133D" w:rsidRPr="00481427">
        <w:rPr>
          <w:rFonts w:ascii="Palatino Linotype" w:eastAsiaTheme="majorEastAsia" w:hAnsi="Palatino Linotype" w:cstheme="majorBidi"/>
          <w:b/>
          <w:bCs/>
          <w:color w:val="77206D" w:themeColor="accent5" w:themeShade="BF"/>
          <w:kern w:val="0"/>
          <w:sz w:val="24"/>
          <w:szCs w:val="24"/>
          <w14:ligatures w14:val="none"/>
        </w:rPr>
        <w:t>Abortion Self-Care</w:t>
      </w:r>
      <w:r w:rsidR="006C56F2" w:rsidRPr="00481427">
        <w:rPr>
          <w:rFonts w:ascii="Palatino Linotype" w:eastAsiaTheme="majorEastAsia" w:hAnsi="Palatino Linotype" w:cstheme="majorBidi"/>
          <w:b/>
          <w:bCs/>
          <w:color w:val="77206D" w:themeColor="accent5" w:themeShade="BF"/>
          <w:kern w:val="0"/>
          <w:sz w:val="24"/>
          <w:szCs w:val="24"/>
          <w14:ligatures w14:val="none"/>
        </w:rPr>
        <w:t xml:space="preserve">: </w:t>
      </w:r>
      <w:r w:rsidR="002D575B" w:rsidRPr="00481427">
        <w:rPr>
          <w:rFonts w:ascii="Palatino Linotype" w:hAnsi="Palatino Linotype"/>
        </w:rPr>
        <w:t>Digital health technologies are playing an increasingly critical role in expanding access to self-managed abortion,</w:t>
      </w:r>
      <w:r w:rsidR="004301D5">
        <w:rPr>
          <w:rFonts w:ascii="Palatino Linotype" w:hAnsi="Palatino Linotype"/>
        </w:rPr>
        <w:t xml:space="preserve"> </w:t>
      </w:r>
      <w:r w:rsidR="002D575B" w:rsidRPr="00481427">
        <w:rPr>
          <w:rFonts w:ascii="Palatino Linotype" w:hAnsi="Palatino Linotype"/>
        </w:rPr>
        <w:t xml:space="preserve">in </w:t>
      </w:r>
      <w:r w:rsidR="00020E1A" w:rsidRPr="00481427">
        <w:rPr>
          <w:rFonts w:ascii="Palatino Linotype" w:hAnsi="Palatino Linotype"/>
        </w:rPr>
        <w:t>both liberal and restricted</w:t>
      </w:r>
      <w:r w:rsidR="004301D5">
        <w:rPr>
          <w:rFonts w:ascii="Palatino Linotype" w:hAnsi="Palatino Linotype"/>
        </w:rPr>
        <w:t xml:space="preserve"> settings</w:t>
      </w:r>
      <w:r w:rsidR="002D575B" w:rsidRPr="00481427">
        <w:rPr>
          <w:rFonts w:ascii="Palatino Linotype" w:hAnsi="Palatino Linotype"/>
        </w:rPr>
        <w:t xml:space="preserve">. Through </w:t>
      </w:r>
      <w:r w:rsidR="000B1068" w:rsidRPr="00481427">
        <w:rPr>
          <w:rFonts w:ascii="Palatino Linotype" w:hAnsi="Palatino Linotype"/>
        </w:rPr>
        <w:t xml:space="preserve">tele-counselling, </w:t>
      </w:r>
      <w:r w:rsidR="002D575B" w:rsidRPr="00481427">
        <w:rPr>
          <w:rFonts w:ascii="Palatino Linotype" w:hAnsi="Palatino Linotype"/>
        </w:rPr>
        <w:t xml:space="preserve">telemedicine, mobile apps, online </w:t>
      </w:r>
      <w:r w:rsidR="000B1068" w:rsidRPr="00481427">
        <w:rPr>
          <w:rFonts w:ascii="Palatino Linotype" w:hAnsi="Palatino Linotype"/>
        </w:rPr>
        <w:t>counselling</w:t>
      </w:r>
      <w:r w:rsidR="00881F4A" w:rsidRPr="00481427">
        <w:rPr>
          <w:rFonts w:ascii="Palatino Linotype" w:hAnsi="Palatino Linotype"/>
        </w:rPr>
        <w:t xml:space="preserve"> on abortion care and post abortion care </w:t>
      </w:r>
      <w:r w:rsidR="002D575B" w:rsidRPr="00481427">
        <w:rPr>
          <w:rFonts w:ascii="Palatino Linotype" w:hAnsi="Palatino Linotype"/>
        </w:rPr>
        <w:t xml:space="preserve">individuals are empowered with accurate information, clinical guidance, and </w:t>
      </w:r>
      <w:r w:rsidR="002D575B" w:rsidRPr="00481427">
        <w:rPr>
          <w:rFonts w:ascii="Palatino Linotype" w:hAnsi="Palatino Linotype"/>
        </w:rPr>
        <w:lastRenderedPageBreak/>
        <w:t xml:space="preserve">privacy to safely manage their abortion outside traditional healthcare settings. However, the potential of digital self-managed abortion can only be fully realized through enabling policy environments, investments in digital infrastructure, and rights-based regulatory frameworks. </w:t>
      </w:r>
      <w:r w:rsidR="000D3825" w:rsidRPr="00481427">
        <w:rPr>
          <w:rFonts w:ascii="Palatino Linotype" w:hAnsi="Palatino Linotype"/>
        </w:rPr>
        <w:t>the deliverable for this activity would be -</w:t>
      </w:r>
    </w:p>
    <w:p w14:paraId="75E0E83B" w14:textId="77777777" w:rsidR="000D3825" w:rsidRPr="00481427" w:rsidRDefault="000D3825" w:rsidP="000D3825">
      <w:pPr>
        <w:pStyle w:val="ListParagraph"/>
        <w:ind w:left="0"/>
        <w:jc w:val="both"/>
        <w:rPr>
          <w:rFonts w:ascii="Palatino Linotype" w:hAnsi="Palatino Linotype"/>
          <w:b/>
          <w:bCs/>
        </w:rPr>
      </w:pPr>
    </w:p>
    <w:p w14:paraId="37DD00A8" w14:textId="436352E8" w:rsidR="006C56F2" w:rsidRPr="00481427" w:rsidRDefault="00F95763" w:rsidP="00EF1D32">
      <w:pPr>
        <w:pStyle w:val="ListParagraph"/>
        <w:shd w:val="clear" w:color="auto" w:fill="FCF2FB"/>
        <w:ind w:left="0"/>
        <w:jc w:val="both"/>
        <w:rPr>
          <w:rFonts w:ascii="Palatino Linotype" w:hAnsi="Palatino Linotype"/>
          <w:b/>
          <w:bCs/>
        </w:rPr>
      </w:pPr>
      <w:r w:rsidRPr="00481427">
        <w:rPr>
          <w:rFonts w:ascii="Palatino Linotype" w:hAnsi="Palatino Linotype"/>
          <w:b/>
          <w:bCs/>
        </w:rPr>
        <w:t xml:space="preserve">Deliverable 3: </w:t>
      </w:r>
      <w:r w:rsidR="000D3825" w:rsidRPr="00481427">
        <w:rPr>
          <w:rFonts w:ascii="Palatino Linotype" w:hAnsi="Palatino Linotype"/>
          <w:b/>
          <w:bCs/>
        </w:rPr>
        <w:t>Develop a</w:t>
      </w:r>
      <w:r w:rsidR="00971410" w:rsidRPr="00481427">
        <w:rPr>
          <w:rFonts w:ascii="Palatino Linotype" w:hAnsi="Palatino Linotype"/>
          <w:b/>
          <w:bCs/>
        </w:rPr>
        <w:t xml:space="preserve"> white paper </w:t>
      </w:r>
      <w:r w:rsidR="004301D5">
        <w:rPr>
          <w:rFonts w:ascii="Palatino Linotype" w:hAnsi="Palatino Linotype"/>
          <w:b/>
          <w:bCs/>
        </w:rPr>
        <w:t xml:space="preserve">that </w:t>
      </w:r>
      <w:r w:rsidR="00971410" w:rsidRPr="00481427">
        <w:rPr>
          <w:rFonts w:ascii="Palatino Linotype" w:hAnsi="Palatino Linotype"/>
          <w:b/>
          <w:bCs/>
        </w:rPr>
        <w:t xml:space="preserve">explores how digital health can be leveraged to support </w:t>
      </w:r>
      <w:r w:rsidR="00A85120" w:rsidRPr="00481427">
        <w:rPr>
          <w:rFonts w:ascii="Palatino Linotype" w:hAnsi="Palatino Linotype"/>
          <w:b/>
          <w:bCs/>
        </w:rPr>
        <w:t>abortion self-care</w:t>
      </w:r>
      <w:r w:rsidR="00227CBD" w:rsidRPr="00481427">
        <w:rPr>
          <w:rFonts w:ascii="Palatino Linotype" w:hAnsi="Palatino Linotype"/>
          <w:b/>
          <w:bCs/>
        </w:rPr>
        <w:t xml:space="preserve"> and post abortion care </w:t>
      </w:r>
      <w:r w:rsidR="00971410" w:rsidRPr="00481427">
        <w:rPr>
          <w:rFonts w:ascii="Palatino Linotype" w:hAnsi="Palatino Linotype"/>
          <w:b/>
          <w:bCs/>
        </w:rPr>
        <w:t>across different contexts</w:t>
      </w:r>
      <w:r w:rsidR="00A85120" w:rsidRPr="00481427">
        <w:rPr>
          <w:rFonts w:ascii="Palatino Linotype" w:hAnsi="Palatino Linotype"/>
          <w:b/>
          <w:bCs/>
        </w:rPr>
        <w:t xml:space="preserve"> by </w:t>
      </w:r>
      <w:r w:rsidR="0017064E" w:rsidRPr="00481427">
        <w:rPr>
          <w:rFonts w:ascii="Palatino Linotype" w:hAnsi="Palatino Linotype"/>
          <w:b/>
          <w:bCs/>
        </w:rPr>
        <w:t>synthesizing</w:t>
      </w:r>
      <w:r w:rsidR="00971410" w:rsidRPr="00481427">
        <w:rPr>
          <w:rFonts w:ascii="Palatino Linotype" w:hAnsi="Palatino Linotype"/>
          <w:b/>
          <w:bCs/>
        </w:rPr>
        <w:t xml:space="preserve"> emerging </w:t>
      </w:r>
      <w:r w:rsidR="005A2907" w:rsidRPr="00481427">
        <w:rPr>
          <w:rFonts w:ascii="Palatino Linotype" w:hAnsi="Palatino Linotype"/>
          <w:b/>
          <w:bCs/>
        </w:rPr>
        <w:t>evidence and</w:t>
      </w:r>
      <w:r w:rsidR="00971410" w:rsidRPr="00481427">
        <w:rPr>
          <w:rFonts w:ascii="Palatino Linotype" w:hAnsi="Palatino Linotype"/>
          <w:b/>
          <w:bCs/>
        </w:rPr>
        <w:t xml:space="preserve"> outli</w:t>
      </w:r>
      <w:r w:rsidR="0033586A">
        <w:rPr>
          <w:rFonts w:ascii="Palatino Linotype" w:hAnsi="Palatino Linotype"/>
          <w:b/>
          <w:bCs/>
        </w:rPr>
        <w:t xml:space="preserve">ning policy and regulatory frameworks. </w:t>
      </w:r>
    </w:p>
    <w:p w14:paraId="3B1FB81D" w14:textId="77777777" w:rsidR="0017064E" w:rsidRPr="00481427" w:rsidRDefault="0017064E" w:rsidP="000D3825">
      <w:pPr>
        <w:pStyle w:val="ListParagraph"/>
        <w:ind w:left="0"/>
        <w:jc w:val="both"/>
        <w:rPr>
          <w:rFonts w:ascii="Palatino Linotype" w:hAnsi="Palatino Linotype"/>
          <w:b/>
          <w:bCs/>
        </w:rPr>
      </w:pPr>
    </w:p>
    <w:p w14:paraId="3636FA73" w14:textId="44C5AA5B" w:rsidR="00BE2A1C" w:rsidRPr="00481427" w:rsidRDefault="007545A2" w:rsidP="007545A2">
      <w:pPr>
        <w:pStyle w:val="ListParagraph"/>
        <w:numPr>
          <w:ilvl w:val="0"/>
          <w:numId w:val="3"/>
        </w:numPr>
        <w:ind w:left="0" w:firstLine="0"/>
        <w:jc w:val="both"/>
        <w:rPr>
          <w:rFonts w:ascii="Palatino Linotype" w:eastAsiaTheme="majorEastAsia" w:hAnsi="Palatino Linotype" w:cstheme="majorBidi"/>
          <w:b/>
          <w:bCs/>
          <w:color w:val="77206D" w:themeColor="accent5" w:themeShade="BF"/>
          <w:kern w:val="0"/>
          <w:sz w:val="24"/>
          <w:szCs w:val="24"/>
          <w14:ligatures w14:val="none"/>
        </w:rPr>
      </w:pPr>
      <w:r w:rsidRPr="00481427">
        <w:rPr>
          <w:rFonts w:ascii="Palatino Linotype" w:eastAsiaTheme="majorEastAsia" w:hAnsi="Palatino Linotype" w:cstheme="majorBidi"/>
          <w:b/>
          <w:bCs/>
          <w:color w:val="77206D" w:themeColor="accent5" w:themeShade="BF"/>
          <w:kern w:val="0"/>
          <w:sz w:val="24"/>
          <w:szCs w:val="24"/>
          <w14:ligatures w14:val="none"/>
        </w:rPr>
        <w:t xml:space="preserve">Capacity Building of our Country Partners on </w:t>
      </w:r>
      <w:r w:rsidR="00A97F02" w:rsidRPr="00481427">
        <w:rPr>
          <w:rFonts w:ascii="Palatino Linotype" w:eastAsiaTheme="majorEastAsia" w:hAnsi="Palatino Linotype" w:cstheme="majorBidi"/>
          <w:b/>
          <w:bCs/>
          <w:color w:val="77206D" w:themeColor="accent5" w:themeShade="BF"/>
          <w:kern w:val="0"/>
          <w:sz w:val="24"/>
          <w:szCs w:val="24"/>
          <w14:ligatures w14:val="none"/>
        </w:rPr>
        <w:t>Adaptive Program Learning</w:t>
      </w:r>
      <w:r w:rsidR="00C96695" w:rsidRPr="00481427">
        <w:rPr>
          <w:rFonts w:ascii="Palatino Linotype" w:eastAsiaTheme="majorEastAsia" w:hAnsi="Palatino Linotype" w:cstheme="majorBidi"/>
          <w:b/>
          <w:bCs/>
          <w:color w:val="77206D" w:themeColor="accent5" w:themeShade="BF"/>
          <w:kern w:val="0"/>
          <w:sz w:val="24"/>
          <w:szCs w:val="24"/>
          <w14:ligatures w14:val="none"/>
        </w:rPr>
        <w:t xml:space="preserve"> Methods</w:t>
      </w:r>
      <w:r w:rsidR="00A97F02" w:rsidRPr="00481427">
        <w:rPr>
          <w:rFonts w:ascii="Palatino Linotype" w:eastAsiaTheme="majorEastAsia" w:hAnsi="Palatino Linotype" w:cstheme="majorBidi"/>
          <w:b/>
          <w:bCs/>
          <w:color w:val="77206D" w:themeColor="accent5" w:themeShade="BF"/>
          <w:kern w:val="0"/>
          <w:sz w:val="24"/>
          <w:szCs w:val="24"/>
          <w14:ligatures w14:val="none"/>
        </w:rPr>
        <w:t xml:space="preserve"> &amp; Most Significant Change</w:t>
      </w:r>
      <w:r w:rsidR="00C96695" w:rsidRPr="00481427">
        <w:rPr>
          <w:rFonts w:ascii="Palatino Linotype" w:eastAsiaTheme="majorEastAsia" w:hAnsi="Palatino Linotype" w:cstheme="majorBidi"/>
          <w:b/>
          <w:bCs/>
          <w:color w:val="77206D" w:themeColor="accent5" w:themeShade="BF"/>
          <w:kern w:val="0"/>
          <w:sz w:val="24"/>
          <w:szCs w:val="24"/>
          <w14:ligatures w14:val="none"/>
        </w:rPr>
        <w:t xml:space="preserve"> Stories</w:t>
      </w:r>
      <w:r w:rsidR="00A97F02" w:rsidRPr="00481427">
        <w:rPr>
          <w:rFonts w:ascii="Palatino Linotype" w:eastAsiaTheme="majorEastAsia" w:hAnsi="Palatino Linotype" w:cstheme="majorBidi"/>
          <w:b/>
          <w:bCs/>
          <w:color w:val="77206D" w:themeColor="accent5" w:themeShade="BF"/>
          <w:kern w:val="0"/>
          <w:sz w:val="24"/>
          <w:szCs w:val="24"/>
          <w14:ligatures w14:val="none"/>
        </w:rPr>
        <w:t xml:space="preserve"> (MSC) Documentation</w:t>
      </w:r>
      <w:r w:rsidR="00C96695" w:rsidRPr="00481427">
        <w:rPr>
          <w:rFonts w:ascii="Palatino Linotype" w:eastAsiaTheme="majorEastAsia" w:hAnsi="Palatino Linotype" w:cstheme="majorBidi"/>
          <w:b/>
          <w:bCs/>
          <w:color w:val="77206D" w:themeColor="accent5" w:themeShade="BF"/>
          <w:kern w:val="0"/>
          <w:sz w:val="24"/>
          <w:szCs w:val="24"/>
          <w14:ligatures w14:val="none"/>
        </w:rPr>
        <w:t xml:space="preserve"> </w:t>
      </w:r>
    </w:p>
    <w:p w14:paraId="222E8886" w14:textId="55537806" w:rsidR="001A3F1D" w:rsidRPr="00481427" w:rsidRDefault="00FB4E3E" w:rsidP="00FC3D0A">
      <w:pPr>
        <w:jc w:val="both"/>
        <w:rPr>
          <w:rFonts w:ascii="Palatino Linotype" w:hAnsi="Palatino Linotype"/>
        </w:rPr>
      </w:pPr>
      <w:r w:rsidRPr="00481427">
        <w:rPr>
          <w:rFonts w:ascii="Palatino Linotype" w:hAnsi="Palatino Linotype"/>
        </w:rPr>
        <w:t xml:space="preserve">As part of our commitment to strengthening program effectiveness and fostering a culture of </w:t>
      </w:r>
      <w:r w:rsidR="00AD2FA3" w:rsidRPr="00481427">
        <w:rPr>
          <w:rFonts w:ascii="Palatino Linotype" w:hAnsi="Palatino Linotype"/>
        </w:rPr>
        <w:t>cross-learning and sharing</w:t>
      </w:r>
      <w:r w:rsidRPr="00481427">
        <w:rPr>
          <w:rFonts w:ascii="Palatino Linotype" w:hAnsi="Palatino Linotype"/>
        </w:rPr>
        <w:t xml:space="preserve">, </w:t>
      </w:r>
      <w:r w:rsidR="00E1723D" w:rsidRPr="00481427">
        <w:rPr>
          <w:rFonts w:ascii="Palatino Linotype" w:hAnsi="Palatino Linotype"/>
        </w:rPr>
        <w:t>this capacity building activity is proposed</w:t>
      </w:r>
      <w:r w:rsidR="00135215" w:rsidRPr="00481427">
        <w:rPr>
          <w:rFonts w:ascii="Palatino Linotype" w:hAnsi="Palatino Linotype"/>
        </w:rPr>
        <w:t xml:space="preserve"> on two aspect</w:t>
      </w:r>
      <w:r w:rsidR="0033586A">
        <w:rPr>
          <w:rFonts w:ascii="Palatino Linotype" w:hAnsi="Palatino Linotype"/>
        </w:rPr>
        <w:t>s</w:t>
      </w:r>
      <w:r w:rsidR="00135215" w:rsidRPr="00481427">
        <w:rPr>
          <w:rFonts w:ascii="Palatino Linotype" w:hAnsi="Palatino Linotype"/>
        </w:rPr>
        <w:t xml:space="preserve">- </w:t>
      </w:r>
      <w:r w:rsidR="00A955A8" w:rsidRPr="00481427">
        <w:rPr>
          <w:rFonts w:ascii="Palatino Linotype" w:hAnsi="Palatino Linotype"/>
        </w:rPr>
        <w:t>Collaborating, Learning, and Adapting (CLA) framework,</w:t>
      </w:r>
      <w:r w:rsidR="0033586A">
        <w:rPr>
          <w:rFonts w:ascii="Palatino Linotype" w:hAnsi="Palatino Linotype"/>
        </w:rPr>
        <w:t xml:space="preserve"> and</w:t>
      </w:r>
      <w:r w:rsidR="00A955A8" w:rsidRPr="00481427">
        <w:rPr>
          <w:rFonts w:ascii="Palatino Linotype" w:hAnsi="Palatino Linotype"/>
        </w:rPr>
        <w:t xml:space="preserve"> tools and approaches to strengthen the program learning, reflection and documentation.</w:t>
      </w:r>
      <w:r w:rsidR="00FF473E" w:rsidRPr="00481427">
        <w:rPr>
          <w:rFonts w:ascii="Palatino Linotype" w:hAnsi="Palatino Linotype"/>
        </w:rPr>
        <w:t xml:space="preserve"> This training equips our country partners with practical tools and methodologies to embed CLA principles into their day-to-day work, enabling more responsive and informed decision-making.</w:t>
      </w:r>
      <w:r w:rsidR="00C81091" w:rsidRPr="00481427">
        <w:rPr>
          <w:rFonts w:ascii="Palatino Linotype" w:hAnsi="Palatino Linotype"/>
        </w:rPr>
        <w:t xml:space="preserve"> </w:t>
      </w:r>
      <w:r w:rsidRPr="00481427">
        <w:rPr>
          <w:rFonts w:ascii="Palatino Linotype" w:hAnsi="Palatino Linotype"/>
        </w:rPr>
        <w:t xml:space="preserve">Participants </w:t>
      </w:r>
      <w:r w:rsidR="00FC3D0A" w:rsidRPr="00481427">
        <w:rPr>
          <w:rFonts w:ascii="Palatino Linotype" w:hAnsi="Palatino Linotype"/>
        </w:rPr>
        <w:t>need</w:t>
      </w:r>
      <w:r w:rsidR="006B6CF7" w:rsidRPr="00481427">
        <w:rPr>
          <w:rFonts w:ascii="Palatino Linotype" w:hAnsi="Palatino Linotype"/>
        </w:rPr>
        <w:t xml:space="preserve"> to be oriented</w:t>
      </w:r>
      <w:r w:rsidRPr="00481427">
        <w:rPr>
          <w:rFonts w:ascii="Palatino Linotype" w:hAnsi="Palatino Linotype"/>
        </w:rPr>
        <w:t xml:space="preserve"> </w:t>
      </w:r>
      <w:r w:rsidR="006B6CF7" w:rsidRPr="00481427">
        <w:rPr>
          <w:rFonts w:ascii="Palatino Linotype" w:hAnsi="Palatino Linotype"/>
        </w:rPr>
        <w:t>on overall</w:t>
      </w:r>
      <w:r w:rsidRPr="00481427">
        <w:rPr>
          <w:rFonts w:ascii="Palatino Linotype" w:hAnsi="Palatino Linotype"/>
        </w:rPr>
        <w:t xml:space="preserve"> CLA </w:t>
      </w:r>
      <w:r w:rsidR="006B6CF7" w:rsidRPr="00481427">
        <w:rPr>
          <w:rFonts w:ascii="Palatino Linotype" w:hAnsi="Palatino Linotype"/>
        </w:rPr>
        <w:t>approach</w:t>
      </w:r>
      <w:r w:rsidRPr="00481427">
        <w:rPr>
          <w:rFonts w:ascii="Palatino Linotype" w:hAnsi="Palatino Linotype"/>
        </w:rPr>
        <w:t xml:space="preserve"> such as learning agendas, pause-and-reflect sessions, after-action reviews, stakeholder mapping, and knowledge management strategies, all aimed at enhancing cross-sector collaboration and adaptive program management.</w:t>
      </w:r>
      <w:r w:rsidR="0033586A">
        <w:rPr>
          <w:rFonts w:ascii="Palatino Linotype" w:hAnsi="Palatino Linotype"/>
        </w:rPr>
        <w:t xml:space="preserve"> The knowledge partner also needs to conduct a</w:t>
      </w:r>
      <w:r w:rsidR="00FC3D0A" w:rsidRPr="00481427">
        <w:rPr>
          <w:rFonts w:ascii="Palatino Linotype" w:hAnsi="Palatino Linotype"/>
        </w:rPr>
        <w:t xml:space="preserve"> detailed session on MSC method and orientation on capturing MSC stories- in-depth orientation on identifying, collecting, and documenting MSC stories.</w:t>
      </w:r>
    </w:p>
    <w:p w14:paraId="22A32F09" w14:textId="37CFB95F" w:rsidR="00E042F8" w:rsidRPr="00481427" w:rsidRDefault="00F95763" w:rsidP="00EF1D32">
      <w:pPr>
        <w:pStyle w:val="ListParagraph"/>
        <w:shd w:val="clear" w:color="auto" w:fill="FCF2FB"/>
        <w:ind w:left="0"/>
        <w:jc w:val="both"/>
        <w:rPr>
          <w:rFonts w:ascii="Palatino Linotype" w:hAnsi="Palatino Linotype"/>
          <w:b/>
          <w:bCs/>
        </w:rPr>
      </w:pPr>
      <w:r w:rsidRPr="00481427">
        <w:rPr>
          <w:rFonts w:ascii="Palatino Linotype" w:hAnsi="Palatino Linotype"/>
          <w:b/>
          <w:bCs/>
        </w:rPr>
        <w:t>Deliverable 4:</w:t>
      </w:r>
      <w:r w:rsidR="00E042F8" w:rsidRPr="00481427">
        <w:rPr>
          <w:rFonts w:ascii="Palatino Linotype" w:hAnsi="Palatino Linotype"/>
          <w:b/>
          <w:bCs/>
        </w:rPr>
        <w:t xml:space="preserve"> a. Capacity Building of our Country Partners on Adaptive Program Learning Methods</w:t>
      </w:r>
      <w:r w:rsidR="00447AE5" w:rsidRPr="00481427">
        <w:rPr>
          <w:rFonts w:ascii="Palatino Linotype" w:hAnsi="Palatino Linotype"/>
          <w:b/>
          <w:bCs/>
        </w:rPr>
        <w:t xml:space="preserve"> (CLA</w:t>
      </w:r>
      <w:r w:rsidR="00C54DB4" w:rsidRPr="00481427">
        <w:rPr>
          <w:rFonts w:ascii="Palatino Linotype" w:hAnsi="Palatino Linotype"/>
          <w:b/>
          <w:bCs/>
        </w:rPr>
        <w:t xml:space="preserve"> approach</w:t>
      </w:r>
      <w:r w:rsidR="00447AE5" w:rsidRPr="00481427">
        <w:rPr>
          <w:rFonts w:ascii="Palatino Linotype" w:hAnsi="Palatino Linotype"/>
          <w:b/>
          <w:bCs/>
        </w:rPr>
        <w:t>)</w:t>
      </w:r>
      <w:r w:rsidR="00E042F8" w:rsidRPr="00481427">
        <w:rPr>
          <w:rFonts w:ascii="Palatino Linotype" w:hAnsi="Palatino Linotype"/>
          <w:b/>
          <w:bCs/>
        </w:rPr>
        <w:t xml:space="preserve"> </w:t>
      </w:r>
      <w:r w:rsidR="00447AE5" w:rsidRPr="00481427">
        <w:rPr>
          <w:rFonts w:ascii="Palatino Linotype" w:hAnsi="Palatino Linotype"/>
          <w:b/>
          <w:bCs/>
        </w:rPr>
        <w:t>and</w:t>
      </w:r>
    </w:p>
    <w:p w14:paraId="15C90579" w14:textId="210AFD13" w:rsidR="00F95763" w:rsidRPr="00481427" w:rsidRDefault="00E042F8" w:rsidP="00EF1D32">
      <w:pPr>
        <w:shd w:val="clear" w:color="auto" w:fill="FCF2FB"/>
        <w:jc w:val="both"/>
        <w:rPr>
          <w:rFonts w:ascii="Palatino Linotype" w:hAnsi="Palatino Linotype"/>
          <w:b/>
          <w:bCs/>
        </w:rPr>
      </w:pPr>
      <w:r w:rsidRPr="00481427">
        <w:rPr>
          <w:rFonts w:ascii="Palatino Linotype" w:hAnsi="Palatino Linotype"/>
          <w:b/>
          <w:bCs/>
        </w:rPr>
        <w:t xml:space="preserve">b. </w:t>
      </w:r>
      <w:r w:rsidR="00447AE5" w:rsidRPr="00481427">
        <w:rPr>
          <w:rFonts w:ascii="Palatino Linotype" w:hAnsi="Palatino Linotype"/>
          <w:b/>
          <w:bCs/>
        </w:rPr>
        <w:t xml:space="preserve">Capacity building on </w:t>
      </w:r>
      <w:r w:rsidRPr="00481427">
        <w:rPr>
          <w:rFonts w:ascii="Palatino Linotype" w:hAnsi="Palatino Linotype"/>
          <w:b/>
          <w:bCs/>
        </w:rPr>
        <w:t xml:space="preserve">Most Significant Change Stories (MSC) </w:t>
      </w:r>
      <w:r w:rsidR="00F52796" w:rsidRPr="00481427">
        <w:rPr>
          <w:rFonts w:ascii="Palatino Linotype" w:hAnsi="Palatino Linotype"/>
          <w:b/>
          <w:bCs/>
        </w:rPr>
        <w:t>method and d</w:t>
      </w:r>
      <w:r w:rsidRPr="00481427">
        <w:rPr>
          <w:rFonts w:ascii="Palatino Linotype" w:hAnsi="Palatino Linotype"/>
          <w:b/>
          <w:bCs/>
        </w:rPr>
        <w:t>ocumentation</w:t>
      </w:r>
    </w:p>
    <w:p w14:paraId="21E0AD2D" w14:textId="77777777" w:rsidR="00FC3D0A" w:rsidRPr="00481427" w:rsidRDefault="00FC3D0A" w:rsidP="00693853">
      <w:pPr>
        <w:rPr>
          <w:rFonts w:ascii="Palatino Linotype" w:hAnsi="Palatino Linotype"/>
        </w:rPr>
      </w:pPr>
    </w:p>
    <w:p w14:paraId="5AACD815" w14:textId="1CDD07B7" w:rsidR="006827E2" w:rsidRPr="00481427" w:rsidRDefault="00570B8E" w:rsidP="006827E2">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sidRPr="00481427">
        <w:rPr>
          <w:rFonts w:ascii="Palatino Linotype" w:hAnsi="Palatino Linotype"/>
          <w:color w:val="77206D" w:themeColor="accent5" w:themeShade="BF"/>
          <w:kern w:val="0"/>
          <w:sz w:val="28"/>
          <w:szCs w:val="28"/>
          <w14:ligatures w14:val="none"/>
        </w:rPr>
        <w:t>Expected Outcome</w:t>
      </w:r>
      <w:r w:rsidR="004E7F33" w:rsidRPr="00481427">
        <w:rPr>
          <w:rFonts w:ascii="Palatino Linotype" w:hAnsi="Palatino Linotype"/>
          <w:color w:val="77206D" w:themeColor="accent5" w:themeShade="BF"/>
          <w:kern w:val="0"/>
          <w:sz w:val="28"/>
          <w:szCs w:val="28"/>
          <w14:ligatures w14:val="none"/>
        </w:rPr>
        <w:t>s</w:t>
      </w:r>
      <w:r w:rsidRPr="00481427">
        <w:rPr>
          <w:rFonts w:ascii="Palatino Linotype" w:hAnsi="Palatino Linotype"/>
          <w:color w:val="77206D" w:themeColor="accent5" w:themeShade="BF"/>
          <w:kern w:val="0"/>
          <w:sz w:val="28"/>
          <w:szCs w:val="28"/>
          <w14:ligatures w14:val="none"/>
        </w:rPr>
        <w:t xml:space="preserve"> and </w:t>
      </w:r>
      <w:r w:rsidR="001B6204" w:rsidRPr="00481427">
        <w:rPr>
          <w:rFonts w:ascii="Palatino Linotype" w:hAnsi="Palatino Linotype"/>
          <w:color w:val="77206D" w:themeColor="accent5" w:themeShade="BF"/>
          <w:kern w:val="0"/>
          <w:sz w:val="28"/>
          <w:szCs w:val="28"/>
          <w14:ligatures w14:val="none"/>
        </w:rPr>
        <w:t>Timelines</w:t>
      </w:r>
    </w:p>
    <w:tbl>
      <w:tblPr>
        <w:tblStyle w:val="TableGrid"/>
        <w:tblW w:w="0" w:type="auto"/>
        <w:tblLook w:val="04A0" w:firstRow="1" w:lastRow="0" w:firstColumn="1" w:lastColumn="0" w:noHBand="0" w:noVBand="1"/>
      </w:tblPr>
      <w:tblGrid>
        <w:gridCol w:w="562"/>
        <w:gridCol w:w="5448"/>
        <w:gridCol w:w="3006"/>
      </w:tblGrid>
      <w:tr w:rsidR="002D27BB" w:rsidRPr="00481427" w14:paraId="2C2B1D36" w14:textId="77777777" w:rsidTr="007746FA">
        <w:tc>
          <w:tcPr>
            <w:tcW w:w="6010" w:type="dxa"/>
            <w:gridSpan w:val="2"/>
            <w:shd w:val="clear" w:color="auto" w:fill="FCF2FB"/>
          </w:tcPr>
          <w:p w14:paraId="26432DA2" w14:textId="0B70CD37" w:rsidR="002D27BB" w:rsidRPr="00481427" w:rsidRDefault="002D27BB" w:rsidP="00693853">
            <w:pPr>
              <w:rPr>
                <w:rFonts w:ascii="Palatino Linotype" w:hAnsi="Palatino Linotype"/>
                <w:b/>
                <w:bCs/>
              </w:rPr>
            </w:pPr>
            <w:r w:rsidRPr="00481427">
              <w:rPr>
                <w:rFonts w:ascii="Palatino Linotype" w:hAnsi="Palatino Linotype"/>
                <w:b/>
                <w:bCs/>
              </w:rPr>
              <w:t>Deliverables</w:t>
            </w:r>
          </w:p>
        </w:tc>
        <w:tc>
          <w:tcPr>
            <w:tcW w:w="3006" w:type="dxa"/>
            <w:shd w:val="clear" w:color="auto" w:fill="FCF2FB"/>
          </w:tcPr>
          <w:p w14:paraId="7A3A5DBD" w14:textId="2A1C025A" w:rsidR="002D27BB" w:rsidRPr="00481427" w:rsidRDefault="002D27BB" w:rsidP="002D27BB">
            <w:pPr>
              <w:jc w:val="center"/>
              <w:rPr>
                <w:rFonts w:ascii="Palatino Linotype" w:hAnsi="Palatino Linotype"/>
                <w:b/>
                <w:bCs/>
              </w:rPr>
            </w:pPr>
            <w:r w:rsidRPr="00481427">
              <w:rPr>
                <w:rFonts w:ascii="Palatino Linotype" w:hAnsi="Palatino Linotype"/>
                <w:b/>
                <w:bCs/>
              </w:rPr>
              <w:t>Timeline</w:t>
            </w:r>
          </w:p>
        </w:tc>
      </w:tr>
      <w:tr w:rsidR="00326A65" w:rsidRPr="00481427" w14:paraId="1C0A986E" w14:textId="77777777" w:rsidTr="007746FA">
        <w:tc>
          <w:tcPr>
            <w:tcW w:w="562" w:type="dxa"/>
          </w:tcPr>
          <w:p w14:paraId="2ED59C99" w14:textId="0746DBF8" w:rsidR="00326A65" w:rsidRPr="00481427" w:rsidRDefault="00326A65" w:rsidP="00326A65">
            <w:pPr>
              <w:rPr>
                <w:rFonts w:ascii="Palatino Linotype" w:hAnsi="Palatino Linotype"/>
              </w:rPr>
            </w:pPr>
            <w:r w:rsidRPr="00481427">
              <w:rPr>
                <w:rFonts w:ascii="Palatino Linotype" w:hAnsi="Palatino Linotype"/>
              </w:rPr>
              <w:t xml:space="preserve">1. </w:t>
            </w:r>
          </w:p>
        </w:tc>
        <w:tc>
          <w:tcPr>
            <w:tcW w:w="5448" w:type="dxa"/>
          </w:tcPr>
          <w:p w14:paraId="447177A9" w14:textId="77777777" w:rsidR="00326A65" w:rsidRPr="00481427" w:rsidRDefault="00326A65" w:rsidP="00326A65">
            <w:pPr>
              <w:rPr>
                <w:rFonts w:ascii="Palatino Linotype" w:hAnsi="Palatino Linotype"/>
              </w:rPr>
            </w:pPr>
            <w:r w:rsidRPr="00481427">
              <w:rPr>
                <w:rFonts w:ascii="Palatino Linotype" w:hAnsi="Palatino Linotype"/>
              </w:rPr>
              <w:t>a. Systematic review document on self-injectables</w:t>
            </w:r>
          </w:p>
          <w:p w14:paraId="53E56482" w14:textId="50085B92" w:rsidR="00326A65" w:rsidRPr="00481427" w:rsidRDefault="00326A65" w:rsidP="00326A65">
            <w:pPr>
              <w:rPr>
                <w:rFonts w:ascii="Palatino Linotype" w:hAnsi="Palatino Linotype"/>
              </w:rPr>
            </w:pPr>
            <w:r w:rsidRPr="00481427">
              <w:rPr>
                <w:rFonts w:ascii="Palatino Linotype" w:hAnsi="Palatino Linotype"/>
              </w:rPr>
              <w:t>b. Policy brief on self-injectables</w:t>
            </w:r>
          </w:p>
        </w:tc>
        <w:tc>
          <w:tcPr>
            <w:tcW w:w="3006" w:type="dxa"/>
          </w:tcPr>
          <w:p w14:paraId="224DC1A5" w14:textId="74DA178C" w:rsidR="00326A65" w:rsidRPr="00481427" w:rsidRDefault="002D27BB" w:rsidP="00326A65">
            <w:pPr>
              <w:rPr>
                <w:rFonts w:ascii="Palatino Linotype" w:hAnsi="Palatino Linotype"/>
              </w:rPr>
            </w:pPr>
            <w:r w:rsidRPr="00481427">
              <w:rPr>
                <w:rFonts w:ascii="Palatino Linotype" w:hAnsi="Palatino Linotype"/>
              </w:rPr>
              <w:t xml:space="preserve">By </w:t>
            </w:r>
            <w:r w:rsidR="009A1374" w:rsidRPr="00481427">
              <w:rPr>
                <w:rFonts w:ascii="Palatino Linotype" w:hAnsi="Palatino Linotype"/>
              </w:rPr>
              <w:t>September</w:t>
            </w:r>
            <w:r w:rsidRPr="00481427">
              <w:rPr>
                <w:rFonts w:ascii="Palatino Linotype" w:hAnsi="Palatino Linotype"/>
              </w:rPr>
              <w:t xml:space="preserve"> 2025</w:t>
            </w:r>
          </w:p>
        </w:tc>
      </w:tr>
      <w:tr w:rsidR="006947DA" w:rsidRPr="00481427" w14:paraId="24776DF8" w14:textId="77777777" w:rsidTr="007746FA">
        <w:tc>
          <w:tcPr>
            <w:tcW w:w="562" w:type="dxa"/>
          </w:tcPr>
          <w:p w14:paraId="0D0C7CB5" w14:textId="2AA875AA" w:rsidR="006947DA" w:rsidRPr="00481427" w:rsidRDefault="00FC07ED" w:rsidP="00693853">
            <w:pPr>
              <w:rPr>
                <w:rFonts w:ascii="Palatino Linotype" w:hAnsi="Palatino Linotype"/>
              </w:rPr>
            </w:pPr>
            <w:r w:rsidRPr="00481427">
              <w:rPr>
                <w:rFonts w:ascii="Palatino Linotype" w:hAnsi="Palatino Linotype"/>
              </w:rPr>
              <w:t xml:space="preserve">2. </w:t>
            </w:r>
          </w:p>
        </w:tc>
        <w:tc>
          <w:tcPr>
            <w:tcW w:w="5448" w:type="dxa"/>
          </w:tcPr>
          <w:p w14:paraId="3318E84C" w14:textId="53B2435A" w:rsidR="006947DA" w:rsidRPr="00481427" w:rsidRDefault="00A17019" w:rsidP="00693853">
            <w:pPr>
              <w:rPr>
                <w:rFonts w:ascii="Palatino Linotype" w:hAnsi="Palatino Linotype"/>
              </w:rPr>
            </w:pPr>
            <w:r w:rsidRPr="00481427">
              <w:rPr>
                <w:rFonts w:ascii="Palatino Linotype" w:hAnsi="Palatino Linotype"/>
              </w:rPr>
              <w:t xml:space="preserve">Policy </w:t>
            </w:r>
            <w:proofErr w:type="gramStart"/>
            <w:r w:rsidR="00F43478" w:rsidRPr="00481427">
              <w:rPr>
                <w:rFonts w:ascii="Palatino Linotype" w:hAnsi="Palatino Linotype"/>
              </w:rPr>
              <w:t>b</w:t>
            </w:r>
            <w:r w:rsidRPr="00481427">
              <w:rPr>
                <w:rFonts w:ascii="Palatino Linotype" w:hAnsi="Palatino Linotype"/>
              </w:rPr>
              <w:t>rief</w:t>
            </w:r>
            <w:proofErr w:type="gramEnd"/>
            <w:r w:rsidRPr="00481427">
              <w:rPr>
                <w:rFonts w:ascii="Palatino Linotype" w:hAnsi="Palatino Linotype"/>
              </w:rPr>
              <w:t xml:space="preserve"> on </w:t>
            </w:r>
            <w:r w:rsidR="00F43478" w:rsidRPr="00481427">
              <w:rPr>
                <w:rFonts w:ascii="Palatino Linotype" w:hAnsi="Palatino Linotype"/>
              </w:rPr>
              <w:t>t</w:t>
            </w:r>
            <w:r w:rsidRPr="00481427">
              <w:rPr>
                <w:rFonts w:ascii="Palatino Linotype" w:hAnsi="Palatino Linotype"/>
              </w:rPr>
              <w:t xml:space="preserve">ask </w:t>
            </w:r>
            <w:r w:rsidR="00F43478" w:rsidRPr="00481427">
              <w:rPr>
                <w:rFonts w:ascii="Palatino Linotype" w:hAnsi="Palatino Linotype"/>
              </w:rPr>
              <w:t>s</w:t>
            </w:r>
            <w:r w:rsidRPr="00481427">
              <w:rPr>
                <w:rFonts w:ascii="Palatino Linotype" w:hAnsi="Palatino Linotype"/>
              </w:rPr>
              <w:t xml:space="preserve">haring for </w:t>
            </w:r>
            <w:r w:rsidR="00D70E4D">
              <w:rPr>
                <w:rFonts w:ascii="Palatino Linotype" w:hAnsi="Palatino Linotype"/>
              </w:rPr>
              <w:t xml:space="preserve">safe </w:t>
            </w:r>
            <w:r w:rsidR="00F43478" w:rsidRPr="00481427">
              <w:rPr>
                <w:rFonts w:ascii="Palatino Linotype" w:hAnsi="Palatino Linotype"/>
              </w:rPr>
              <w:t>a</w:t>
            </w:r>
            <w:r w:rsidRPr="00481427">
              <w:rPr>
                <w:rFonts w:ascii="Palatino Linotype" w:hAnsi="Palatino Linotype"/>
              </w:rPr>
              <w:t xml:space="preserve">bortion and </w:t>
            </w:r>
            <w:r w:rsidR="00F43478" w:rsidRPr="00481427">
              <w:rPr>
                <w:rFonts w:ascii="Palatino Linotype" w:hAnsi="Palatino Linotype"/>
              </w:rPr>
              <w:t>c</w:t>
            </w:r>
            <w:r w:rsidRPr="00481427">
              <w:rPr>
                <w:rFonts w:ascii="Palatino Linotype" w:hAnsi="Palatino Linotype"/>
              </w:rPr>
              <w:t xml:space="preserve">ontraception </w:t>
            </w:r>
            <w:r w:rsidR="00D70E4D">
              <w:rPr>
                <w:rFonts w:ascii="Palatino Linotype" w:hAnsi="Palatino Linotype"/>
              </w:rPr>
              <w:t>s</w:t>
            </w:r>
            <w:r w:rsidRPr="00481427">
              <w:rPr>
                <w:rFonts w:ascii="Palatino Linotype" w:hAnsi="Palatino Linotype"/>
              </w:rPr>
              <w:t>ervices</w:t>
            </w:r>
          </w:p>
        </w:tc>
        <w:tc>
          <w:tcPr>
            <w:tcW w:w="3006" w:type="dxa"/>
          </w:tcPr>
          <w:p w14:paraId="5D947C75" w14:textId="5A780182" w:rsidR="006947DA" w:rsidRPr="00481427" w:rsidRDefault="00046BA0" w:rsidP="00693853">
            <w:pPr>
              <w:rPr>
                <w:rFonts w:ascii="Palatino Linotype" w:hAnsi="Palatino Linotype"/>
              </w:rPr>
            </w:pPr>
            <w:r w:rsidRPr="00481427">
              <w:rPr>
                <w:rFonts w:ascii="Palatino Linotype" w:hAnsi="Palatino Linotype"/>
              </w:rPr>
              <w:t>By October 2025</w:t>
            </w:r>
          </w:p>
        </w:tc>
      </w:tr>
      <w:tr w:rsidR="003C56D1" w:rsidRPr="00481427" w14:paraId="091697B3" w14:textId="77777777" w:rsidTr="007746FA">
        <w:tc>
          <w:tcPr>
            <w:tcW w:w="562" w:type="dxa"/>
          </w:tcPr>
          <w:p w14:paraId="14C2984A" w14:textId="040D9D08" w:rsidR="003C56D1" w:rsidRPr="00481427" w:rsidRDefault="003C56D1" w:rsidP="003C56D1">
            <w:pPr>
              <w:rPr>
                <w:rFonts w:ascii="Palatino Linotype" w:hAnsi="Palatino Linotype"/>
              </w:rPr>
            </w:pPr>
            <w:r w:rsidRPr="00481427">
              <w:rPr>
                <w:rFonts w:ascii="Palatino Linotype" w:hAnsi="Palatino Linotype"/>
              </w:rPr>
              <w:t>3.</w:t>
            </w:r>
          </w:p>
        </w:tc>
        <w:tc>
          <w:tcPr>
            <w:tcW w:w="5448" w:type="dxa"/>
          </w:tcPr>
          <w:p w14:paraId="46378FEB" w14:textId="53BA1A56" w:rsidR="003C56D1" w:rsidRPr="00481427" w:rsidRDefault="003C56D1" w:rsidP="003C56D1">
            <w:pPr>
              <w:pStyle w:val="ListParagraph"/>
              <w:ind w:left="0"/>
              <w:jc w:val="both"/>
              <w:rPr>
                <w:rFonts w:ascii="Palatino Linotype" w:hAnsi="Palatino Linotype"/>
              </w:rPr>
            </w:pPr>
            <w:r w:rsidRPr="00481427">
              <w:rPr>
                <w:rFonts w:ascii="Palatino Linotype" w:hAnsi="Palatino Linotype"/>
              </w:rPr>
              <w:t xml:space="preserve">a. Capacity Building of our Country Partners on Adaptive Program Learning Methods </w:t>
            </w:r>
            <w:r w:rsidR="00D70E4D">
              <w:rPr>
                <w:rFonts w:ascii="Palatino Linotype" w:hAnsi="Palatino Linotype"/>
              </w:rPr>
              <w:t>&amp;</w:t>
            </w:r>
          </w:p>
          <w:p w14:paraId="08591685" w14:textId="5C9912F8" w:rsidR="003C56D1" w:rsidRPr="00481427" w:rsidRDefault="003C56D1" w:rsidP="003C56D1">
            <w:pPr>
              <w:rPr>
                <w:rFonts w:ascii="Palatino Linotype" w:hAnsi="Palatino Linotype"/>
              </w:rPr>
            </w:pPr>
            <w:r w:rsidRPr="00481427">
              <w:rPr>
                <w:rFonts w:ascii="Palatino Linotype" w:hAnsi="Palatino Linotype"/>
              </w:rPr>
              <w:t xml:space="preserve">b. Most Significant Change Stories (MSC) Documentation </w:t>
            </w:r>
          </w:p>
        </w:tc>
        <w:tc>
          <w:tcPr>
            <w:tcW w:w="3006" w:type="dxa"/>
          </w:tcPr>
          <w:p w14:paraId="5CC1924E" w14:textId="7779A3CF" w:rsidR="003C56D1" w:rsidRPr="00481427" w:rsidRDefault="003C56D1" w:rsidP="003C56D1">
            <w:pPr>
              <w:rPr>
                <w:rFonts w:ascii="Palatino Linotype" w:hAnsi="Palatino Linotype"/>
              </w:rPr>
            </w:pPr>
            <w:r w:rsidRPr="00481427">
              <w:rPr>
                <w:rFonts w:ascii="Palatino Linotype" w:hAnsi="Palatino Linotype"/>
              </w:rPr>
              <w:t>By November 2025</w:t>
            </w:r>
          </w:p>
        </w:tc>
      </w:tr>
      <w:tr w:rsidR="003C56D1" w:rsidRPr="00481427" w14:paraId="5AD9FA83" w14:textId="77777777" w:rsidTr="0051270C">
        <w:tc>
          <w:tcPr>
            <w:tcW w:w="562" w:type="dxa"/>
          </w:tcPr>
          <w:p w14:paraId="5C53C170" w14:textId="128EE07A" w:rsidR="003C56D1" w:rsidRPr="00481427" w:rsidRDefault="003C56D1" w:rsidP="003C56D1">
            <w:pPr>
              <w:rPr>
                <w:rFonts w:ascii="Palatino Linotype" w:hAnsi="Palatino Linotype"/>
              </w:rPr>
            </w:pPr>
            <w:r>
              <w:rPr>
                <w:rFonts w:ascii="Palatino Linotype" w:hAnsi="Palatino Linotype"/>
              </w:rPr>
              <w:t>4</w:t>
            </w:r>
          </w:p>
        </w:tc>
        <w:tc>
          <w:tcPr>
            <w:tcW w:w="5448" w:type="dxa"/>
          </w:tcPr>
          <w:p w14:paraId="1430DF4D" w14:textId="5B1C3605" w:rsidR="003C56D1" w:rsidRPr="00481427" w:rsidRDefault="003C56D1" w:rsidP="003C56D1">
            <w:pPr>
              <w:pStyle w:val="ListParagraph"/>
              <w:ind w:left="0"/>
              <w:jc w:val="both"/>
              <w:rPr>
                <w:rFonts w:ascii="Palatino Linotype" w:hAnsi="Palatino Linotype"/>
              </w:rPr>
            </w:pPr>
            <w:r w:rsidRPr="00481427">
              <w:rPr>
                <w:rFonts w:ascii="Palatino Linotype" w:hAnsi="Palatino Linotype"/>
              </w:rPr>
              <w:t>White paper on digital health initiatives to expand access and support to abortion self-care</w:t>
            </w:r>
          </w:p>
        </w:tc>
        <w:tc>
          <w:tcPr>
            <w:tcW w:w="3006" w:type="dxa"/>
          </w:tcPr>
          <w:p w14:paraId="31F338E2" w14:textId="1C3B2969" w:rsidR="003C56D1" w:rsidRPr="00481427" w:rsidRDefault="003C56D1" w:rsidP="003C56D1">
            <w:pPr>
              <w:rPr>
                <w:rFonts w:ascii="Palatino Linotype" w:hAnsi="Palatino Linotype"/>
              </w:rPr>
            </w:pPr>
            <w:r w:rsidRPr="00481427">
              <w:rPr>
                <w:rFonts w:ascii="Palatino Linotype" w:hAnsi="Palatino Linotype"/>
              </w:rPr>
              <w:t>By December 2025</w:t>
            </w:r>
          </w:p>
        </w:tc>
      </w:tr>
    </w:tbl>
    <w:p w14:paraId="7E512C8B" w14:textId="4C57EDAC" w:rsidR="001A3F1D" w:rsidRPr="00481427" w:rsidRDefault="001A3F1D" w:rsidP="00693853">
      <w:pPr>
        <w:rPr>
          <w:rFonts w:ascii="Palatino Linotype" w:hAnsi="Palatino Linotype"/>
        </w:rPr>
      </w:pPr>
    </w:p>
    <w:p w14:paraId="7E599C85" w14:textId="142032B9" w:rsidR="00B61DC1" w:rsidRPr="00481427" w:rsidRDefault="00B61DC1" w:rsidP="41BE7CD0">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sidRPr="00481427">
        <w:rPr>
          <w:rFonts w:ascii="Palatino Linotype" w:hAnsi="Palatino Linotype"/>
          <w:color w:val="77206D" w:themeColor="accent5" w:themeShade="BF"/>
          <w:kern w:val="0"/>
          <w:sz w:val="28"/>
          <w:szCs w:val="28"/>
          <w14:ligatures w14:val="none"/>
        </w:rPr>
        <w:lastRenderedPageBreak/>
        <w:t>Qualifications and Experience Required</w:t>
      </w:r>
    </w:p>
    <w:p w14:paraId="2D399B1D" w14:textId="29703D01" w:rsidR="00A57741" w:rsidRPr="00481427" w:rsidRDefault="00A57741" w:rsidP="00364FA9">
      <w:pPr>
        <w:pStyle w:val="ListParagraph"/>
        <w:numPr>
          <w:ilvl w:val="0"/>
          <w:numId w:val="12"/>
        </w:numPr>
        <w:jc w:val="both"/>
        <w:rPr>
          <w:rFonts w:ascii="Palatino Linotype" w:hAnsi="Palatino Linotype"/>
        </w:rPr>
      </w:pPr>
      <w:r w:rsidRPr="00481427">
        <w:rPr>
          <w:rFonts w:ascii="Palatino Linotype" w:hAnsi="Palatino Linotype"/>
        </w:rPr>
        <w:t>Strong Technical Expertise in SRHR</w:t>
      </w:r>
      <w:r w:rsidR="006E5400" w:rsidRPr="00481427">
        <w:rPr>
          <w:rFonts w:ascii="Palatino Linotype" w:hAnsi="Palatino Linotype"/>
        </w:rPr>
        <w:t xml:space="preserve"> and </w:t>
      </w:r>
      <w:r w:rsidR="00882FD1" w:rsidRPr="00481427">
        <w:rPr>
          <w:rFonts w:ascii="Palatino Linotype" w:hAnsi="Palatino Linotype"/>
        </w:rPr>
        <w:t>d</w:t>
      </w:r>
      <w:r w:rsidR="006E5400" w:rsidRPr="00481427">
        <w:rPr>
          <w:rFonts w:ascii="Palatino Linotype" w:hAnsi="Palatino Linotype"/>
        </w:rPr>
        <w:t>emonstrated in-depth knowledge on family planning, contraception</w:t>
      </w:r>
      <w:r w:rsidR="00CA6BE0" w:rsidRPr="00481427">
        <w:rPr>
          <w:rFonts w:ascii="Palatino Linotype" w:hAnsi="Palatino Linotype"/>
        </w:rPr>
        <w:t>,</w:t>
      </w:r>
      <w:r w:rsidR="00D70E4D">
        <w:rPr>
          <w:rFonts w:ascii="Palatino Linotype" w:hAnsi="Palatino Linotype"/>
        </w:rPr>
        <w:t xml:space="preserve"> and</w:t>
      </w:r>
      <w:r w:rsidR="00CA6BE0" w:rsidRPr="00481427">
        <w:rPr>
          <w:rFonts w:ascii="Palatino Linotype" w:hAnsi="Palatino Linotype"/>
        </w:rPr>
        <w:t xml:space="preserve"> safe abortion</w:t>
      </w:r>
      <w:r w:rsidR="001B0154" w:rsidRPr="00481427">
        <w:rPr>
          <w:rFonts w:ascii="Palatino Linotype" w:hAnsi="Palatino Linotype"/>
        </w:rPr>
        <w:t xml:space="preserve">. </w:t>
      </w:r>
      <w:r w:rsidRPr="00481427">
        <w:rPr>
          <w:rFonts w:ascii="Palatino Linotype" w:hAnsi="Palatino Linotype"/>
        </w:rPr>
        <w:t>Familiarity with global and regional SRHR frameworks, human rights-based approaches, and intersectional gender analysis.</w:t>
      </w:r>
    </w:p>
    <w:p w14:paraId="47F28573" w14:textId="355B92F7" w:rsidR="004167EB" w:rsidRPr="00481427" w:rsidRDefault="00C638FA" w:rsidP="00C638FA">
      <w:pPr>
        <w:numPr>
          <w:ilvl w:val="0"/>
          <w:numId w:val="12"/>
        </w:numPr>
        <w:jc w:val="both"/>
        <w:rPr>
          <w:rFonts w:ascii="Palatino Linotype" w:hAnsi="Palatino Linotype"/>
        </w:rPr>
      </w:pPr>
      <w:r w:rsidRPr="00481427">
        <w:rPr>
          <w:rFonts w:ascii="Palatino Linotype" w:hAnsi="Palatino Linotype"/>
        </w:rPr>
        <w:t>A nuanced understanding of SRHR challenges across different contexts—especially South Asia</w:t>
      </w:r>
      <w:r w:rsidR="00D70E4D">
        <w:rPr>
          <w:rFonts w:ascii="Palatino Linotype" w:hAnsi="Palatino Linotype"/>
        </w:rPr>
        <w:t>n</w:t>
      </w:r>
      <w:r w:rsidRPr="00481427">
        <w:rPr>
          <w:rFonts w:ascii="Palatino Linotype" w:hAnsi="Palatino Linotype"/>
        </w:rPr>
        <w:t xml:space="preserve"> </w:t>
      </w:r>
      <w:r w:rsidR="00D70E4D">
        <w:rPr>
          <w:rFonts w:ascii="Palatino Linotype" w:hAnsi="Palatino Linotype"/>
        </w:rPr>
        <w:t>r</w:t>
      </w:r>
      <w:r w:rsidRPr="00481427">
        <w:rPr>
          <w:rFonts w:ascii="Palatino Linotype" w:hAnsi="Palatino Linotype"/>
        </w:rPr>
        <w:t>egional context.</w:t>
      </w:r>
    </w:p>
    <w:p w14:paraId="150E377F" w14:textId="238F847F" w:rsidR="00145DF0" w:rsidRPr="00481427" w:rsidRDefault="00A57741" w:rsidP="00364FA9">
      <w:pPr>
        <w:pStyle w:val="ListParagraph"/>
        <w:numPr>
          <w:ilvl w:val="0"/>
          <w:numId w:val="12"/>
        </w:numPr>
        <w:jc w:val="both"/>
        <w:rPr>
          <w:rFonts w:ascii="Palatino Linotype" w:hAnsi="Palatino Linotype"/>
        </w:rPr>
      </w:pPr>
      <w:r w:rsidRPr="00481427">
        <w:rPr>
          <w:rFonts w:ascii="Palatino Linotype" w:hAnsi="Palatino Linotype"/>
        </w:rPr>
        <w:t>Evidence Synthesis</w:t>
      </w:r>
      <w:r w:rsidR="00D70E4D">
        <w:rPr>
          <w:rFonts w:ascii="Palatino Linotype" w:hAnsi="Palatino Linotype"/>
        </w:rPr>
        <w:t xml:space="preserve">: </w:t>
      </w:r>
      <w:r w:rsidRPr="00481427">
        <w:rPr>
          <w:rFonts w:ascii="Palatino Linotype" w:hAnsi="Palatino Linotype"/>
        </w:rPr>
        <w:t>P</w:t>
      </w:r>
      <w:r w:rsidR="00C00665">
        <w:rPr>
          <w:rFonts w:ascii="Palatino Linotype" w:hAnsi="Palatino Linotype"/>
        </w:rPr>
        <w:t>ast</w:t>
      </w:r>
      <w:r w:rsidRPr="00481427">
        <w:rPr>
          <w:rFonts w:ascii="Palatino Linotype" w:hAnsi="Palatino Linotype"/>
        </w:rPr>
        <w:t xml:space="preserve"> experience</w:t>
      </w:r>
      <w:r w:rsidR="00C867FA">
        <w:rPr>
          <w:rFonts w:ascii="Palatino Linotype" w:hAnsi="Palatino Linotype"/>
        </w:rPr>
        <w:t>s</w:t>
      </w:r>
      <w:r w:rsidRPr="00481427">
        <w:rPr>
          <w:rFonts w:ascii="Palatino Linotype" w:hAnsi="Palatino Linotype"/>
        </w:rPr>
        <w:t xml:space="preserve"> in conducting systematic reviews, meta-analyses, evidence assessments, and reviews within the SRHR field.</w:t>
      </w:r>
    </w:p>
    <w:p w14:paraId="27699767" w14:textId="50790B09" w:rsidR="00EF206B" w:rsidRPr="00481427" w:rsidRDefault="002B7812" w:rsidP="00DF1269">
      <w:pPr>
        <w:numPr>
          <w:ilvl w:val="0"/>
          <w:numId w:val="12"/>
        </w:numPr>
        <w:rPr>
          <w:rFonts w:ascii="Palatino Linotype" w:hAnsi="Palatino Linotype"/>
        </w:rPr>
      </w:pPr>
      <w:r w:rsidRPr="00481427">
        <w:rPr>
          <w:rFonts w:ascii="Palatino Linotype" w:hAnsi="Palatino Linotype"/>
        </w:rPr>
        <w:t>Understanding of self-care interventions in SRHR</w:t>
      </w:r>
      <w:r w:rsidR="00E50107" w:rsidRPr="00481427">
        <w:rPr>
          <w:rFonts w:ascii="Palatino Linotype" w:hAnsi="Palatino Linotype"/>
        </w:rPr>
        <w:t xml:space="preserve">, </w:t>
      </w:r>
      <w:r w:rsidR="6330697B" w:rsidRPr="00481427">
        <w:rPr>
          <w:rFonts w:ascii="Palatino Linotype" w:hAnsi="Palatino Linotype"/>
        </w:rPr>
        <w:t>WHO</w:t>
      </w:r>
      <w:r w:rsidR="00E50107" w:rsidRPr="00481427">
        <w:rPr>
          <w:rFonts w:ascii="Palatino Linotype" w:hAnsi="Palatino Linotype"/>
        </w:rPr>
        <w:t xml:space="preserve"> guidelines </w:t>
      </w:r>
      <w:r w:rsidRPr="00481427">
        <w:rPr>
          <w:rFonts w:ascii="Palatino Linotype" w:hAnsi="Palatino Linotype"/>
        </w:rPr>
        <w:t>and South Asian policy contexts</w:t>
      </w:r>
      <w:r w:rsidR="00DF1269" w:rsidRPr="00481427">
        <w:rPr>
          <w:rFonts w:ascii="Palatino Linotype" w:hAnsi="Palatino Linotype"/>
        </w:rPr>
        <w:t>.</w:t>
      </w:r>
    </w:p>
    <w:p w14:paraId="011FBAA0" w14:textId="1D195C3B" w:rsidR="001469BD" w:rsidRPr="00481427" w:rsidRDefault="00C82A15" w:rsidP="00364FA9">
      <w:pPr>
        <w:pStyle w:val="ListParagraph"/>
        <w:numPr>
          <w:ilvl w:val="0"/>
          <w:numId w:val="12"/>
        </w:numPr>
        <w:jc w:val="both"/>
        <w:rPr>
          <w:rFonts w:ascii="Palatino Linotype" w:hAnsi="Palatino Linotype"/>
        </w:rPr>
      </w:pPr>
      <w:r w:rsidRPr="00481427">
        <w:rPr>
          <w:rFonts w:ascii="Palatino Linotype" w:hAnsi="Palatino Linotype"/>
        </w:rPr>
        <w:t>Knowledge Integration and Translation</w:t>
      </w:r>
      <w:r w:rsidR="00D70E4D">
        <w:rPr>
          <w:rFonts w:ascii="Palatino Linotype" w:hAnsi="Palatino Linotype"/>
        </w:rPr>
        <w:t xml:space="preserve">: </w:t>
      </w:r>
      <w:r w:rsidRPr="00481427">
        <w:rPr>
          <w:rFonts w:ascii="Palatino Linotype" w:hAnsi="Palatino Linotype"/>
        </w:rPr>
        <w:t>Expertise in converting complex evidence into user-friendly knowledge products like policy briefs, white papers</w:t>
      </w:r>
      <w:r w:rsidR="00F47867" w:rsidRPr="00481427">
        <w:rPr>
          <w:rFonts w:ascii="Palatino Linotype" w:hAnsi="Palatino Linotype"/>
        </w:rPr>
        <w:t xml:space="preserve"> etc.</w:t>
      </w:r>
    </w:p>
    <w:p w14:paraId="5214B277" w14:textId="77777777" w:rsidR="00A57741" w:rsidRPr="00481427" w:rsidRDefault="00A57741" w:rsidP="00364FA9">
      <w:pPr>
        <w:numPr>
          <w:ilvl w:val="0"/>
          <w:numId w:val="7"/>
        </w:numPr>
        <w:jc w:val="both"/>
        <w:rPr>
          <w:rFonts w:ascii="Palatino Linotype" w:hAnsi="Palatino Linotype"/>
        </w:rPr>
      </w:pPr>
      <w:r w:rsidRPr="00481427">
        <w:rPr>
          <w:rFonts w:ascii="Palatino Linotype" w:hAnsi="Palatino Linotype"/>
        </w:rPr>
        <w:t>Familiarity with adaptive learning approaches such as the CLA (Collaborating, Learning, and Adapting) framework and MSC (Most Significant Change) methodology.</w:t>
      </w:r>
    </w:p>
    <w:p w14:paraId="4284A2E8" w14:textId="30EB5F37" w:rsidR="00A4739F" w:rsidRPr="00481427" w:rsidRDefault="00A57741" w:rsidP="00A4739F">
      <w:pPr>
        <w:numPr>
          <w:ilvl w:val="0"/>
          <w:numId w:val="10"/>
        </w:numPr>
        <w:jc w:val="both"/>
        <w:rPr>
          <w:rFonts w:ascii="Palatino Linotype" w:hAnsi="Palatino Linotype"/>
        </w:rPr>
      </w:pPr>
      <w:r w:rsidRPr="00481427">
        <w:rPr>
          <w:rFonts w:ascii="Palatino Linotype" w:hAnsi="Palatino Linotype"/>
        </w:rPr>
        <w:t xml:space="preserve">Previous </w:t>
      </w:r>
      <w:r w:rsidR="006E7D7B" w:rsidRPr="00481427">
        <w:rPr>
          <w:rFonts w:ascii="Palatino Linotype" w:hAnsi="Palatino Linotype"/>
        </w:rPr>
        <w:t xml:space="preserve">experience and </w:t>
      </w:r>
      <w:r w:rsidRPr="00481427">
        <w:rPr>
          <w:rFonts w:ascii="Palatino Linotype" w:hAnsi="Palatino Linotype"/>
        </w:rPr>
        <w:t>collaboration with reputed institutions</w:t>
      </w:r>
      <w:r w:rsidR="00A674C6" w:rsidRPr="00481427">
        <w:rPr>
          <w:rFonts w:ascii="Palatino Linotype" w:hAnsi="Palatino Linotype"/>
        </w:rPr>
        <w:t>/organization</w:t>
      </w:r>
      <w:r w:rsidR="00242B3B">
        <w:rPr>
          <w:rFonts w:ascii="Palatino Linotype" w:hAnsi="Palatino Linotype"/>
        </w:rPr>
        <w:t>s</w:t>
      </w:r>
      <w:r w:rsidR="00A674C6" w:rsidRPr="00481427">
        <w:rPr>
          <w:rFonts w:ascii="Palatino Linotype" w:hAnsi="Palatino Linotype"/>
        </w:rPr>
        <w:t xml:space="preserve"> </w:t>
      </w:r>
      <w:r w:rsidRPr="00481427">
        <w:rPr>
          <w:rFonts w:ascii="Palatino Linotype" w:hAnsi="Palatino Linotype"/>
        </w:rPr>
        <w:t>such as UN agencies, international NGOs, research organizations, or government bodies on SRHR knowledge initiatives.</w:t>
      </w:r>
    </w:p>
    <w:p w14:paraId="494F44FB" w14:textId="4CF7453D" w:rsidR="00A57741" w:rsidRPr="000A6C94" w:rsidRDefault="00C20758" w:rsidP="00364FA9">
      <w:pPr>
        <w:numPr>
          <w:ilvl w:val="0"/>
          <w:numId w:val="10"/>
        </w:numPr>
        <w:rPr>
          <w:rFonts w:ascii="Palatino Linotype" w:hAnsi="Palatino Linotype"/>
        </w:rPr>
      </w:pPr>
      <w:r w:rsidRPr="00481427">
        <w:rPr>
          <w:rFonts w:ascii="Palatino Linotype" w:hAnsi="Palatino Linotype"/>
        </w:rPr>
        <w:t xml:space="preserve">Strong research, analytical, and writing skills </w:t>
      </w:r>
      <w:r w:rsidR="00A4739F" w:rsidRPr="00481427">
        <w:rPr>
          <w:rFonts w:ascii="Palatino Linotype" w:hAnsi="Palatino Linotype"/>
        </w:rPr>
        <w:t>with specific experience in key areas of sexual and reproductive health and rights.</w:t>
      </w:r>
    </w:p>
    <w:p w14:paraId="4BC83E96" w14:textId="0ACC00E0" w:rsidR="003545D8" w:rsidRPr="00481427" w:rsidRDefault="00242B3B" w:rsidP="003545D8">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Pr>
          <w:rFonts w:ascii="Palatino Linotype" w:hAnsi="Palatino Linotype"/>
          <w:color w:val="77206D" w:themeColor="accent5" w:themeShade="BF"/>
          <w:kern w:val="0"/>
          <w:sz w:val="28"/>
          <w:szCs w:val="28"/>
          <w14:ligatures w14:val="none"/>
        </w:rPr>
        <w:t>Duration</w:t>
      </w:r>
    </w:p>
    <w:p w14:paraId="56086F5B" w14:textId="70144B97" w:rsidR="003015AB" w:rsidRDefault="003545D8" w:rsidP="000A6C94">
      <w:pPr>
        <w:rPr>
          <w:rFonts w:ascii="Palatino Linotype" w:hAnsi="Palatino Linotype"/>
        </w:rPr>
      </w:pPr>
      <w:r w:rsidRPr="00481427">
        <w:rPr>
          <w:rFonts w:ascii="Palatino Linotype" w:hAnsi="Palatino Linotype"/>
        </w:rPr>
        <w:t xml:space="preserve">The total duration of the assignment is expected to be from </w:t>
      </w:r>
      <w:r w:rsidR="009A0A07" w:rsidRPr="000A6C94">
        <w:rPr>
          <w:rFonts w:ascii="Palatino Linotype" w:hAnsi="Palatino Linotype"/>
          <w:b/>
          <w:bCs/>
        </w:rPr>
        <w:t>August 2025</w:t>
      </w:r>
      <w:r w:rsidRPr="000A6C94">
        <w:rPr>
          <w:rFonts w:ascii="Palatino Linotype" w:hAnsi="Palatino Linotype"/>
          <w:b/>
          <w:bCs/>
        </w:rPr>
        <w:t xml:space="preserve"> – December 2025</w:t>
      </w:r>
    </w:p>
    <w:p w14:paraId="24E59921" w14:textId="0FD54466" w:rsidR="00F32DF4" w:rsidRPr="00F32DF4" w:rsidRDefault="00F32DF4" w:rsidP="00F32DF4">
      <w:pPr>
        <w:pStyle w:val="Heading1"/>
        <w:pBdr>
          <w:bottom w:val="single" w:sz="4" w:space="1" w:color="77206D" w:themeColor="accent5" w:themeShade="BF"/>
        </w:pBdr>
        <w:spacing w:before="120" w:after="120" w:line="240" w:lineRule="auto"/>
        <w:rPr>
          <w:rFonts w:ascii="Palatino Linotype" w:hAnsi="Palatino Linotype"/>
          <w:color w:val="77206D" w:themeColor="accent5" w:themeShade="BF"/>
          <w:kern w:val="0"/>
          <w:sz w:val="28"/>
          <w:szCs w:val="28"/>
          <w14:ligatures w14:val="none"/>
        </w:rPr>
      </w:pPr>
      <w:r w:rsidRPr="00F32DF4">
        <w:rPr>
          <w:rFonts w:ascii="Palatino Linotype" w:hAnsi="Palatino Linotype"/>
          <w:color w:val="77206D" w:themeColor="accent5" w:themeShade="BF"/>
          <w:kern w:val="0"/>
          <w:sz w:val="28"/>
          <w:szCs w:val="28"/>
          <w14:ligatures w14:val="none"/>
        </w:rPr>
        <w:t>Application Details</w:t>
      </w:r>
      <w:r w:rsidR="005033B1">
        <w:rPr>
          <w:rFonts w:ascii="Palatino Linotype" w:hAnsi="Palatino Linotype"/>
          <w:color w:val="77206D" w:themeColor="accent5" w:themeShade="BF"/>
          <w:kern w:val="0"/>
          <w:sz w:val="28"/>
          <w:szCs w:val="28"/>
          <w14:ligatures w14:val="none"/>
        </w:rPr>
        <w:t xml:space="preserve"> and Evaluation Criteria</w:t>
      </w:r>
    </w:p>
    <w:p w14:paraId="2BAC8D7E" w14:textId="22C96A16" w:rsidR="00F32DF4" w:rsidRPr="00E07B92" w:rsidRDefault="00F32DF4" w:rsidP="00F32DF4">
      <w:pPr>
        <w:spacing w:before="120" w:line="276" w:lineRule="auto"/>
        <w:jc w:val="both"/>
        <w:rPr>
          <w:rFonts w:ascii="Palatino Linotype" w:hAnsi="Palatino Linotype"/>
        </w:rPr>
      </w:pPr>
      <w:r w:rsidRPr="00E07B92">
        <w:rPr>
          <w:rFonts w:ascii="Palatino Linotype" w:hAnsi="Palatino Linotype"/>
        </w:rPr>
        <w:t xml:space="preserve">The selection of the </w:t>
      </w:r>
      <w:r w:rsidR="00756317" w:rsidRPr="00E07B92">
        <w:rPr>
          <w:rFonts w:ascii="Palatino Linotype" w:hAnsi="Palatino Linotype"/>
        </w:rPr>
        <w:t>organisation</w:t>
      </w:r>
      <w:r w:rsidR="00545F5D" w:rsidRPr="00E07B92">
        <w:rPr>
          <w:rFonts w:ascii="Palatino Linotype" w:hAnsi="Palatino Linotype"/>
        </w:rPr>
        <w:t>/agency</w:t>
      </w:r>
      <w:r w:rsidRPr="00E07B92">
        <w:rPr>
          <w:rFonts w:ascii="Palatino Linotype" w:hAnsi="Palatino Linotype"/>
        </w:rPr>
        <w:t xml:space="preserve"> will be based on the qualifications and experience of potential candidates as described in their proposal for the assignment.</w:t>
      </w:r>
    </w:p>
    <w:p w14:paraId="15BCF092" w14:textId="23EEA788" w:rsidR="00F32DF4" w:rsidRPr="00E07B92" w:rsidRDefault="00F32DF4" w:rsidP="00F32DF4">
      <w:pPr>
        <w:jc w:val="both"/>
        <w:rPr>
          <w:rFonts w:ascii="Palatino Linotype" w:hAnsi="Palatino Linotype"/>
        </w:rPr>
      </w:pPr>
      <w:r w:rsidRPr="00E07B92">
        <w:rPr>
          <w:rFonts w:ascii="Palatino Linotype" w:hAnsi="Palatino Linotype"/>
        </w:rPr>
        <w:t xml:space="preserve">To apply, interested candidates are requested to email </w:t>
      </w:r>
      <w:hyperlink r:id="rId9" w:history="1">
        <w:r w:rsidRPr="00E07B92">
          <w:rPr>
            <w:rStyle w:val="Hyperlink"/>
            <w:rFonts w:ascii="Palatino Linotype" w:hAnsi="Palatino Linotype"/>
            <w:b/>
            <w:bCs/>
          </w:rPr>
          <w:t>adas@ippf.org</w:t>
        </w:r>
      </w:hyperlink>
      <w:r w:rsidR="00C92390">
        <w:t xml:space="preserve"> </w:t>
      </w:r>
      <w:r w:rsidRPr="00E07B92">
        <w:rPr>
          <w:rFonts w:ascii="Palatino Linotype" w:hAnsi="Palatino Linotype"/>
          <w:b/>
          <w:bCs/>
        </w:rPr>
        <w:t>copy</w:t>
      </w:r>
      <w:r w:rsidR="00C92390">
        <w:rPr>
          <w:rFonts w:ascii="Palatino Linotype" w:hAnsi="Palatino Linotype"/>
          <w:b/>
          <w:bCs/>
        </w:rPr>
        <w:t>ing</w:t>
      </w:r>
      <w:r w:rsidRPr="00E07B92">
        <w:rPr>
          <w:rFonts w:ascii="Palatino Linotype" w:hAnsi="Palatino Linotype"/>
          <w:b/>
          <w:bCs/>
        </w:rPr>
        <w:t xml:space="preserve"> </w:t>
      </w:r>
      <w:hyperlink r:id="rId10" w:history="1">
        <w:r w:rsidRPr="00E07B92">
          <w:rPr>
            <w:rStyle w:val="Hyperlink"/>
            <w:rFonts w:ascii="Palatino Linotype" w:hAnsi="Palatino Linotype"/>
            <w:b/>
            <w:bCs/>
          </w:rPr>
          <w:t>procurement@ippf.org</w:t>
        </w:r>
      </w:hyperlink>
      <w:r w:rsidRPr="00E07B92">
        <w:rPr>
          <w:rFonts w:ascii="Palatino Linotype" w:hAnsi="Palatino Linotype"/>
          <w:b/>
          <w:bCs/>
        </w:rPr>
        <w:t xml:space="preserve"> </w:t>
      </w:r>
      <w:r w:rsidRPr="00E07B92">
        <w:rPr>
          <w:rFonts w:ascii="Palatino Linotype" w:hAnsi="Palatino Linotype"/>
        </w:rPr>
        <w:t xml:space="preserve">with </w:t>
      </w:r>
      <w:r w:rsidR="00C92390">
        <w:rPr>
          <w:rFonts w:ascii="Palatino Linotype" w:hAnsi="Palatino Linotype"/>
        </w:rPr>
        <w:t xml:space="preserve">the subject </w:t>
      </w:r>
      <w:r w:rsidRPr="00E07B92">
        <w:rPr>
          <w:rFonts w:ascii="Palatino Linotype" w:hAnsi="Palatino Linotype"/>
        </w:rPr>
        <w:t>“</w:t>
      </w:r>
      <w:r w:rsidRPr="00E07B92">
        <w:rPr>
          <w:rFonts w:ascii="Palatino Linotype" w:hAnsi="Palatino Linotype"/>
          <w:b/>
          <w:bCs/>
        </w:rPr>
        <w:t xml:space="preserve">Application – </w:t>
      </w:r>
      <w:r w:rsidR="00AC6687" w:rsidRPr="00E07B92">
        <w:rPr>
          <w:rFonts w:ascii="Palatino Linotype" w:hAnsi="Palatino Linotype"/>
          <w:b/>
          <w:bCs/>
        </w:rPr>
        <w:t>Knowledge Partner</w:t>
      </w:r>
      <w:r w:rsidRPr="00E07B92">
        <w:rPr>
          <w:rFonts w:ascii="Palatino Linotype" w:hAnsi="Palatino Linotype"/>
        </w:rPr>
        <w:t xml:space="preserve">” no later than </w:t>
      </w:r>
      <w:r w:rsidR="00370EAE" w:rsidRPr="00E07B92">
        <w:rPr>
          <w:rFonts w:ascii="Palatino Linotype" w:hAnsi="Palatino Linotype"/>
          <w:b/>
          <w:bCs/>
        </w:rPr>
        <w:t>July 1</w:t>
      </w:r>
      <w:r w:rsidR="005878B7" w:rsidRPr="00E07B92">
        <w:rPr>
          <w:rFonts w:ascii="Palatino Linotype" w:hAnsi="Palatino Linotype"/>
          <w:b/>
          <w:bCs/>
        </w:rPr>
        <w:t>3</w:t>
      </w:r>
      <w:r w:rsidRPr="00E07B92">
        <w:rPr>
          <w:rFonts w:ascii="Palatino Linotype" w:hAnsi="Palatino Linotype"/>
          <w:b/>
          <w:bCs/>
        </w:rPr>
        <w:t>, 2025</w:t>
      </w:r>
      <w:r w:rsidRPr="00E07B92">
        <w:rPr>
          <w:rFonts w:ascii="Palatino Linotype" w:hAnsi="Palatino Linotype"/>
        </w:rPr>
        <w:t>, along with:</w:t>
      </w:r>
    </w:p>
    <w:p w14:paraId="0C65C3B2" w14:textId="77777777" w:rsidR="00F32DF4" w:rsidRPr="00E07B92" w:rsidRDefault="00F32DF4" w:rsidP="00F32DF4">
      <w:pPr>
        <w:pStyle w:val="ListParagraph"/>
        <w:numPr>
          <w:ilvl w:val="0"/>
          <w:numId w:val="16"/>
        </w:numPr>
        <w:spacing w:before="120" w:after="120" w:line="276" w:lineRule="auto"/>
        <w:contextualSpacing w:val="0"/>
        <w:jc w:val="both"/>
        <w:rPr>
          <w:rFonts w:ascii="Palatino Linotype" w:hAnsi="Palatino Linotype"/>
        </w:rPr>
      </w:pPr>
      <w:r w:rsidRPr="00E07B92">
        <w:rPr>
          <w:rFonts w:ascii="Palatino Linotype" w:hAnsi="Palatino Linotype"/>
          <w:b/>
          <w:bCs/>
        </w:rPr>
        <w:t>A</w:t>
      </w:r>
      <w:r w:rsidRPr="00E07B92">
        <w:rPr>
          <w:rFonts w:ascii="Palatino Linotype" w:hAnsi="Palatino Linotype"/>
        </w:rPr>
        <w:t xml:space="preserve"> </w:t>
      </w:r>
      <w:r w:rsidRPr="00E07B92">
        <w:rPr>
          <w:rFonts w:ascii="Palatino Linotype" w:hAnsi="Palatino Linotype"/>
          <w:b/>
          <w:bCs/>
        </w:rPr>
        <w:t>Technical Proposal (not more than 10 pages maximum)</w:t>
      </w:r>
      <w:r w:rsidRPr="00E07B92">
        <w:rPr>
          <w:rFonts w:ascii="Palatino Linotype" w:hAnsi="Palatino Linotype"/>
        </w:rPr>
        <w:t xml:space="preserve"> indicating: </w:t>
      </w:r>
    </w:p>
    <w:p w14:paraId="12E93195" w14:textId="0C408A44" w:rsidR="00A252C7" w:rsidRPr="00E07B92" w:rsidRDefault="00F32DF4" w:rsidP="00A252C7">
      <w:pPr>
        <w:pStyle w:val="ListParagraph"/>
        <w:numPr>
          <w:ilvl w:val="1"/>
          <w:numId w:val="16"/>
        </w:numPr>
        <w:spacing w:before="120" w:after="120" w:line="276" w:lineRule="auto"/>
        <w:contextualSpacing w:val="0"/>
        <w:jc w:val="both"/>
        <w:rPr>
          <w:rFonts w:ascii="Palatino Linotype" w:hAnsi="Palatino Linotype"/>
        </w:rPr>
      </w:pPr>
      <w:r w:rsidRPr="00E07B92">
        <w:rPr>
          <w:rFonts w:ascii="Palatino Linotype" w:hAnsi="Palatino Linotype"/>
        </w:rPr>
        <w:t xml:space="preserve">The suitability for the assignment and relevant previous work, including a description of their knowledge </w:t>
      </w:r>
      <w:r w:rsidR="004B091E">
        <w:rPr>
          <w:rFonts w:ascii="Palatino Linotype" w:hAnsi="Palatino Linotype"/>
        </w:rPr>
        <w:t>in</w:t>
      </w:r>
      <w:r w:rsidRPr="00E07B92">
        <w:rPr>
          <w:rFonts w:ascii="Palatino Linotype" w:hAnsi="Palatino Linotype"/>
        </w:rPr>
        <w:t xml:space="preserve"> SRH</w:t>
      </w:r>
      <w:r w:rsidR="00D822B8" w:rsidRPr="00E07B92">
        <w:rPr>
          <w:rFonts w:ascii="Palatino Linotype" w:hAnsi="Palatino Linotype"/>
        </w:rPr>
        <w:t>R</w:t>
      </w:r>
      <w:r w:rsidRPr="00E07B92">
        <w:rPr>
          <w:rFonts w:ascii="Palatino Linotype" w:hAnsi="Palatino Linotype"/>
        </w:rPr>
        <w:t xml:space="preserve"> and the experience in </w:t>
      </w:r>
      <w:r w:rsidR="00B31AA7" w:rsidRPr="00E07B92">
        <w:rPr>
          <w:rFonts w:ascii="Palatino Linotype" w:hAnsi="Palatino Linotype"/>
        </w:rPr>
        <w:t>documentation and capacity building</w:t>
      </w:r>
      <w:r w:rsidRPr="00E07B92">
        <w:rPr>
          <w:rFonts w:ascii="Palatino Linotype" w:hAnsi="Palatino Linotype"/>
        </w:rPr>
        <w:t>.</w:t>
      </w:r>
    </w:p>
    <w:p w14:paraId="2946BFB8" w14:textId="22109F5D" w:rsidR="00F32DF4" w:rsidRDefault="00A252C7" w:rsidP="006C66D6">
      <w:pPr>
        <w:pStyle w:val="ListParagraph"/>
        <w:numPr>
          <w:ilvl w:val="1"/>
          <w:numId w:val="16"/>
        </w:numPr>
        <w:spacing w:before="120" w:after="120" w:line="276" w:lineRule="auto"/>
        <w:contextualSpacing w:val="0"/>
        <w:jc w:val="both"/>
        <w:rPr>
          <w:rFonts w:ascii="Palatino Linotype" w:hAnsi="Palatino Linotype"/>
        </w:rPr>
      </w:pPr>
      <w:r w:rsidRPr="00E07B92">
        <w:rPr>
          <w:rFonts w:ascii="Palatino Linotype" w:hAnsi="Palatino Linotype"/>
        </w:rPr>
        <w:t>Expertise in converting complex evidence into user-friendly knowledge products like policy briefs, white papers etc</w:t>
      </w:r>
      <w:r w:rsidR="006C66D6">
        <w:rPr>
          <w:rFonts w:ascii="Palatino Linotype" w:hAnsi="Palatino Linotype"/>
        </w:rPr>
        <w:t>.</w:t>
      </w:r>
      <w:r w:rsidR="00F32DF4" w:rsidRPr="006C66D6">
        <w:rPr>
          <w:rFonts w:ascii="Palatino Linotype" w:hAnsi="Palatino Linotype"/>
        </w:rPr>
        <w:t xml:space="preserve"> </w:t>
      </w:r>
    </w:p>
    <w:p w14:paraId="155B79AC" w14:textId="24821C89" w:rsidR="009F2512" w:rsidRPr="006C66D6" w:rsidRDefault="009F2512" w:rsidP="006C66D6">
      <w:pPr>
        <w:pStyle w:val="ListParagraph"/>
        <w:numPr>
          <w:ilvl w:val="1"/>
          <w:numId w:val="16"/>
        </w:numPr>
        <w:spacing w:before="120" w:after="120" w:line="276" w:lineRule="auto"/>
        <w:contextualSpacing w:val="0"/>
        <w:jc w:val="both"/>
        <w:rPr>
          <w:rFonts w:ascii="Palatino Linotype" w:hAnsi="Palatino Linotype"/>
        </w:rPr>
      </w:pPr>
      <w:r>
        <w:rPr>
          <w:rFonts w:ascii="Palatino Linotype" w:hAnsi="Palatino Linotype"/>
        </w:rPr>
        <w:lastRenderedPageBreak/>
        <w:t xml:space="preserve">Proposal </w:t>
      </w:r>
      <w:r w:rsidR="00661900">
        <w:rPr>
          <w:rFonts w:ascii="Palatino Linotype" w:hAnsi="Palatino Linotype"/>
        </w:rPr>
        <w:t xml:space="preserve">should </w:t>
      </w:r>
      <w:r w:rsidR="00F82F04">
        <w:rPr>
          <w:rFonts w:ascii="Palatino Linotype" w:hAnsi="Palatino Linotype"/>
        </w:rPr>
        <w:t>clearly depict the understanding</w:t>
      </w:r>
      <w:r w:rsidR="005069AE">
        <w:rPr>
          <w:rFonts w:ascii="Palatino Linotype" w:hAnsi="Palatino Linotype"/>
        </w:rPr>
        <w:t xml:space="preserve"> of the </w:t>
      </w:r>
      <w:proofErr w:type="spellStart"/>
      <w:r w:rsidR="005069AE">
        <w:rPr>
          <w:rFonts w:ascii="Palatino Linotype" w:hAnsi="Palatino Linotype"/>
        </w:rPr>
        <w:t>ToR</w:t>
      </w:r>
      <w:proofErr w:type="spellEnd"/>
      <w:r w:rsidR="005069AE">
        <w:rPr>
          <w:rFonts w:ascii="Palatino Linotype" w:hAnsi="Palatino Linotype"/>
        </w:rPr>
        <w:t xml:space="preserve">, </w:t>
      </w:r>
      <w:r w:rsidR="00CD77C9">
        <w:rPr>
          <w:rFonts w:ascii="Palatino Linotype" w:hAnsi="Palatino Linotype"/>
        </w:rPr>
        <w:t xml:space="preserve">mention approach and methodology, </w:t>
      </w:r>
      <w:r w:rsidR="00ED2960">
        <w:rPr>
          <w:rFonts w:ascii="Palatino Linotype" w:hAnsi="Palatino Linotype"/>
        </w:rPr>
        <w:t>workplan</w:t>
      </w:r>
      <w:r w:rsidR="00C16AAA">
        <w:rPr>
          <w:rFonts w:ascii="Palatino Linotype" w:hAnsi="Palatino Linotype"/>
        </w:rPr>
        <w:t xml:space="preserve"> &amp; timeline</w:t>
      </w:r>
      <w:r w:rsidR="007A3A86">
        <w:rPr>
          <w:rFonts w:ascii="Palatino Linotype" w:hAnsi="Palatino Linotype"/>
        </w:rPr>
        <w:t xml:space="preserve">, </w:t>
      </w:r>
      <w:r w:rsidR="007B519A">
        <w:rPr>
          <w:rFonts w:ascii="Palatino Linotype" w:hAnsi="Palatino Linotype"/>
        </w:rPr>
        <w:t>o</w:t>
      </w:r>
      <w:r w:rsidR="007A3A86" w:rsidRPr="007A3A86">
        <w:rPr>
          <w:rFonts w:ascii="Palatino Linotype" w:hAnsi="Palatino Linotype"/>
        </w:rPr>
        <w:t xml:space="preserve">rganizational </w:t>
      </w:r>
      <w:r w:rsidR="007B519A">
        <w:rPr>
          <w:rFonts w:ascii="Palatino Linotype" w:hAnsi="Palatino Linotype"/>
        </w:rPr>
        <w:t>c</w:t>
      </w:r>
      <w:r w:rsidR="007A3A86" w:rsidRPr="007A3A86">
        <w:rPr>
          <w:rFonts w:ascii="Palatino Linotype" w:hAnsi="Palatino Linotype"/>
        </w:rPr>
        <w:t xml:space="preserve">apacity and </w:t>
      </w:r>
      <w:r w:rsidR="007B519A">
        <w:rPr>
          <w:rFonts w:ascii="Palatino Linotype" w:hAnsi="Palatino Linotype"/>
        </w:rPr>
        <w:t>r</w:t>
      </w:r>
      <w:r w:rsidR="007A3A86" w:rsidRPr="007A3A86">
        <w:rPr>
          <w:rFonts w:ascii="Palatino Linotype" w:hAnsi="Palatino Linotype"/>
        </w:rPr>
        <w:t xml:space="preserve">elevant </w:t>
      </w:r>
      <w:r w:rsidR="007B519A">
        <w:rPr>
          <w:rFonts w:ascii="Palatino Linotype" w:hAnsi="Palatino Linotype"/>
        </w:rPr>
        <w:t>e</w:t>
      </w:r>
      <w:r w:rsidR="007A3A86" w:rsidRPr="007A3A86">
        <w:rPr>
          <w:rFonts w:ascii="Palatino Linotype" w:hAnsi="Palatino Linotype"/>
        </w:rPr>
        <w:t>xperience</w:t>
      </w:r>
      <w:r w:rsidR="007B519A">
        <w:rPr>
          <w:rFonts w:ascii="Palatino Linotype" w:hAnsi="Palatino Linotype"/>
        </w:rPr>
        <w:t>.</w:t>
      </w:r>
    </w:p>
    <w:p w14:paraId="1A35BFF3" w14:textId="4E2B92F3" w:rsidR="00F32DF4" w:rsidRPr="00E07B92" w:rsidRDefault="00F32DF4" w:rsidP="00F32DF4">
      <w:pPr>
        <w:pStyle w:val="ListParagraph"/>
        <w:numPr>
          <w:ilvl w:val="1"/>
          <w:numId w:val="16"/>
        </w:numPr>
        <w:spacing w:before="120" w:after="120" w:line="276" w:lineRule="auto"/>
        <w:contextualSpacing w:val="0"/>
        <w:jc w:val="both"/>
        <w:rPr>
          <w:rFonts w:ascii="Palatino Linotype" w:hAnsi="Palatino Linotype"/>
        </w:rPr>
      </w:pPr>
      <w:r w:rsidRPr="00E07B92">
        <w:rPr>
          <w:rFonts w:ascii="Palatino Linotype" w:hAnsi="Palatino Linotype"/>
        </w:rPr>
        <w:t>A detailed list of team members involved (if relevant) as well as their qualifications</w:t>
      </w:r>
      <w:r w:rsidR="00163603">
        <w:rPr>
          <w:rFonts w:ascii="Palatino Linotype" w:hAnsi="Palatino Linotype"/>
        </w:rPr>
        <w:t xml:space="preserve"> and experiences.</w:t>
      </w:r>
    </w:p>
    <w:p w14:paraId="1B119968" w14:textId="47877E7A" w:rsidR="00F32DF4" w:rsidRPr="00E07B92" w:rsidRDefault="00F32DF4" w:rsidP="00F32DF4">
      <w:pPr>
        <w:pStyle w:val="ListParagraph"/>
        <w:numPr>
          <w:ilvl w:val="1"/>
          <w:numId w:val="16"/>
        </w:numPr>
        <w:spacing w:before="120" w:after="120" w:line="276" w:lineRule="auto"/>
        <w:contextualSpacing w:val="0"/>
        <w:jc w:val="both"/>
        <w:rPr>
          <w:rFonts w:ascii="Palatino Linotype" w:hAnsi="Palatino Linotype"/>
        </w:rPr>
      </w:pPr>
      <w:r w:rsidRPr="00E07B92">
        <w:rPr>
          <w:rFonts w:ascii="Palatino Linotype" w:hAnsi="Palatino Linotype"/>
        </w:rPr>
        <w:t>Provide a list of previous, similar assignments in the past 2 years</w:t>
      </w:r>
      <w:r w:rsidR="00163603">
        <w:rPr>
          <w:rFonts w:ascii="Palatino Linotype" w:hAnsi="Palatino Linotype"/>
        </w:rPr>
        <w:t>.</w:t>
      </w:r>
    </w:p>
    <w:p w14:paraId="0D36F33E" w14:textId="77777777" w:rsidR="00F32DF4" w:rsidRDefault="00F32DF4" w:rsidP="00F32DF4">
      <w:pPr>
        <w:pStyle w:val="ListParagraph"/>
        <w:numPr>
          <w:ilvl w:val="0"/>
          <w:numId w:val="16"/>
        </w:numPr>
        <w:spacing w:before="120" w:after="120" w:line="276" w:lineRule="auto"/>
        <w:contextualSpacing w:val="0"/>
        <w:jc w:val="both"/>
        <w:rPr>
          <w:rFonts w:ascii="Palatino Linotype" w:hAnsi="Palatino Linotype"/>
        </w:rPr>
      </w:pPr>
      <w:r w:rsidRPr="00E07B92">
        <w:rPr>
          <w:rFonts w:ascii="Palatino Linotype" w:hAnsi="Palatino Linotype"/>
          <w:b/>
          <w:bCs/>
        </w:rPr>
        <w:t>A Financial proposal</w:t>
      </w:r>
      <w:r w:rsidRPr="00E07B92">
        <w:rPr>
          <w:rFonts w:ascii="Palatino Linotype" w:hAnsi="Palatino Linotype"/>
        </w:rPr>
        <w:t>, with details of the daily rate for the evaluation work as well as any other potential cost and a breakdown of working days according to the expected deliverables. The financial proposal should reflect the person/ activity being budgeted, time envisaged, per unit rate, subtotals, and total. Also, indicate if the service tax or GST (as applicable) has been included or not.</w:t>
      </w:r>
    </w:p>
    <w:p w14:paraId="101E3771" w14:textId="39E871EC" w:rsidR="00F32DF4" w:rsidRPr="00E07B92" w:rsidRDefault="00F32DF4" w:rsidP="00F32DF4">
      <w:pPr>
        <w:spacing w:before="120" w:line="276" w:lineRule="auto"/>
        <w:jc w:val="both"/>
        <w:rPr>
          <w:rFonts w:ascii="Palatino Linotype" w:hAnsi="Palatino Linotype"/>
        </w:rPr>
      </w:pPr>
      <w:r w:rsidRPr="00E07B92">
        <w:rPr>
          <w:rFonts w:ascii="Palatino Linotype" w:hAnsi="Palatino Linotype"/>
        </w:rPr>
        <w:t>Proposals will be evaluated according to an objective scoring system, considering the requirements outlined in this document</w:t>
      </w:r>
      <w:r w:rsidR="00E54F34">
        <w:rPr>
          <w:rFonts w:ascii="Palatino Linotype" w:hAnsi="Palatino Linotype"/>
        </w:rPr>
        <w:t xml:space="preserve">, </w:t>
      </w:r>
      <w:r w:rsidRPr="00E07B92">
        <w:rPr>
          <w:rFonts w:ascii="Palatino Linotype" w:hAnsi="Palatino Linotype"/>
        </w:rPr>
        <w:t>particularly the ability to manage a process conforming to the timelines set out. Evaluation criteria and weighting will be based on technical criteria (</w:t>
      </w:r>
      <w:r w:rsidR="00E54F34">
        <w:rPr>
          <w:rFonts w:ascii="Palatino Linotype" w:hAnsi="Palatino Linotype"/>
        </w:rPr>
        <w:t>7</w:t>
      </w:r>
      <w:r w:rsidRPr="00E07B92">
        <w:rPr>
          <w:rFonts w:ascii="Palatino Linotype" w:hAnsi="Palatino Linotype"/>
        </w:rPr>
        <w:t>0%) and financial criteria (</w:t>
      </w:r>
      <w:r w:rsidR="00E54F34">
        <w:rPr>
          <w:rFonts w:ascii="Palatino Linotype" w:hAnsi="Palatino Linotype"/>
        </w:rPr>
        <w:t>3</w:t>
      </w:r>
      <w:r w:rsidRPr="00E07B92">
        <w:rPr>
          <w:rFonts w:ascii="Palatino Linotype" w:hAnsi="Palatino Linotype"/>
        </w:rPr>
        <w:t>0%).</w:t>
      </w:r>
    </w:p>
    <w:p w14:paraId="72419A14" w14:textId="77777777" w:rsidR="00F32DF4" w:rsidRPr="00E07B92" w:rsidRDefault="00F32DF4" w:rsidP="00F32DF4">
      <w:pPr>
        <w:spacing w:before="120" w:line="276" w:lineRule="auto"/>
        <w:jc w:val="both"/>
        <w:rPr>
          <w:rFonts w:ascii="Palatino Linotype" w:hAnsi="Palatino Linotype"/>
          <w:b/>
          <w:bCs/>
        </w:rPr>
      </w:pPr>
      <w:r w:rsidRPr="00E07B92">
        <w:rPr>
          <w:rFonts w:ascii="Palatino Linotype" w:hAnsi="Palatino Linotype"/>
        </w:rPr>
        <w:t xml:space="preserve">Any queries with respect to the </w:t>
      </w:r>
      <w:proofErr w:type="spellStart"/>
      <w:r w:rsidRPr="00E07B92">
        <w:rPr>
          <w:rFonts w:ascii="Palatino Linotype" w:hAnsi="Palatino Linotype"/>
        </w:rPr>
        <w:t>ToR</w:t>
      </w:r>
      <w:proofErr w:type="spellEnd"/>
      <w:r w:rsidRPr="00E07B92">
        <w:rPr>
          <w:rFonts w:ascii="Palatino Linotype" w:hAnsi="Palatino Linotype"/>
        </w:rPr>
        <w:t xml:space="preserve"> can be directed to </w:t>
      </w:r>
      <w:hyperlink r:id="rId11" w:history="1">
        <w:r w:rsidRPr="00E07B92">
          <w:rPr>
            <w:rStyle w:val="Hyperlink"/>
            <w:rFonts w:ascii="Palatino Linotype" w:hAnsi="Palatino Linotype"/>
            <w:b/>
            <w:bCs/>
          </w:rPr>
          <w:t>ADas@ippf.org</w:t>
        </w:r>
      </w:hyperlink>
      <w:r w:rsidRPr="00E07B92">
        <w:rPr>
          <w:rFonts w:ascii="Palatino Linotype" w:hAnsi="Palatino Linotype"/>
          <w:b/>
          <w:bCs/>
        </w:rPr>
        <w:t xml:space="preserve">. </w:t>
      </w:r>
    </w:p>
    <w:p w14:paraId="18EA4834" w14:textId="77777777" w:rsidR="003015AB" w:rsidRPr="00E07B92" w:rsidRDefault="003015AB" w:rsidP="003015AB">
      <w:pPr>
        <w:jc w:val="center"/>
        <w:rPr>
          <w:rFonts w:ascii="Palatino Linotype" w:hAnsi="Palatino Linotype"/>
        </w:rPr>
      </w:pPr>
    </w:p>
    <w:sectPr w:rsidR="003015AB" w:rsidRPr="00E07B9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688D" w14:textId="77777777" w:rsidR="005A2CC4" w:rsidRDefault="005A2CC4" w:rsidP="00BE2A1C">
      <w:pPr>
        <w:spacing w:after="0" w:line="240" w:lineRule="auto"/>
      </w:pPr>
      <w:r>
        <w:separator/>
      </w:r>
    </w:p>
  </w:endnote>
  <w:endnote w:type="continuationSeparator" w:id="0">
    <w:p w14:paraId="76EC7F5E" w14:textId="77777777" w:rsidR="005A2CC4" w:rsidRDefault="005A2CC4" w:rsidP="00BE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11B3" w14:textId="77777777" w:rsidR="005A2CC4" w:rsidRDefault="005A2CC4" w:rsidP="00BE2A1C">
      <w:pPr>
        <w:spacing w:after="0" w:line="240" w:lineRule="auto"/>
      </w:pPr>
      <w:r>
        <w:separator/>
      </w:r>
    </w:p>
  </w:footnote>
  <w:footnote w:type="continuationSeparator" w:id="0">
    <w:p w14:paraId="390016C6" w14:textId="77777777" w:rsidR="005A2CC4" w:rsidRDefault="005A2CC4" w:rsidP="00BE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0FCC" w14:textId="27DB9E35" w:rsidR="00BE2A1C" w:rsidRDefault="00BE2A1C">
    <w:pPr>
      <w:pStyle w:val="Header"/>
    </w:pPr>
    <w:r>
      <w:rPr>
        <w:noProof/>
      </w:rPr>
      <w:drawing>
        <wp:anchor distT="0" distB="0" distL="114300" distR="114300" simplePos="0" relativeHeight="251658240" behindDoc="0" locked="0" layoutInCell="1" allowOverlap="1" wp14:anchorId="2F512269" wp14:editId="4C7AFCF6">
          <wp:simplePos x="0" y="0"/>
          <wp:positionH relativeFrom="margin">
            <wp:posOffset>4267200</wp:posOffset>
          </wp:positionH>
          <wp:positionV relativeFrom="margin">
            <wp:posOffset>-749300</wp:posOffset>
          </wp:positionV>
          <wp:extent cx="2006600" cy="508000"/>
          <wp:effectExtent l="0" t="0" r="0" b="6350"/>
          <wp:wrapSquare wrapText="bothSides"/>
          <wp:docPr id="510647825" name="Picture 5106478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660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BDA"/>
    <w:multiLevelType w:val="hybridMultilevel"/>
    <w:tmpl w:val="54443D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BF61AA0"/>
    <w:multiLevelType w:val="multilevel"/>
    <w:tmpl w:val="613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389E"/>
    <w:multiLevelType w:val="multilevel"/>
    <w:tmpl w:val="98E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D749D"/>
    <w:multiLevelType w:val="hybridMultilevel"/>
    <w:tmpl w:val="EA2A008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791590A"/>
    <w:multiLevelType w:val="hybridMultilevel"/>
    <w:tmpl w:val="42820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F22CC8"/>
    <w:multiLevelType w:val="hybridMultilevel"/>
    <w:tmpl w:val="9D80E58E"/>
    <w:lvl w:ilvl="0" w:tplc="956A7024">
      <w:start w:val="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300383"/>
    <w:multiLevelType w:val="multilevel"/>
    <w:tmpl w:val="BB4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06457"/>
    <w:multiLevelType w:val="multilevel"/>
    <w:tmpl w:val="4AD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1261F"/>
    <w:multiLevelType w:val="hybridMultilevel"/>
    <w:tmpl w:val="F15ACF58"/>
    <w:lvl w:ilvl="0" w:tplc="014AB9BE">
      <w:start w:val="1"/>
      <w:numFmt w:val="decimal"/>
      <w:lvlText w:val="%1."/>
      <w:lvlJc w:val="left"/>
      <w:pPr>
        <w:ind w:left="720" w:hanging="360"/>
      </w:pPr>
      <w:rPr>
        <w:rFonts w:hint="default"/>
        <w:b/>
        <w:color w:val="77206D" w:themeColor="accent5" w:themeShade="B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A81BC1"/>
    <w:multiLevelType w:val="multilevel"/>
    <w:tmpl w:val="CE8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517AF"/>
    <w:multiLevelType w:val="multilevel"/>
    <w:tmpl w:val="AE30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D74E0"/>
    <w:multiLevelType w:val="multilevel"/>
    <w:tmpl w:val="252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FE5623"/>
    <w:multiLevelType w:val="multilevel"/>
    <w:tmpl w:val="6C40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4F73"/>
    <w:multiLevelType w:val="hybridMultilevel"/>
    <w:tmpl w:val="51FA7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BE361A"/>
    <w:multiLevelType w:val="multilevel"/>
    <w:tmpl w:val="8B0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52320"/>
    <w:multiLevelType w:val="hybridMultilevel"/>
    <w:tmpl w:val="32C8916A"/>
    <w:lvl w:ilvl="0" w:tplc="DFA0BC7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0842778">
    <w:abstractNumId w:val="13"/>
  </w:num>
  <w:num w:numId="2" w16cid:durableId="204370123">
    <w:abstractNumId w:val="15"/>
  </w:num>
  <w:num w:numId="3" w16cid:durableId="1854414350">
    <w:abstractNumId w:val="8"/>
  </w:num>
  <w:num w:numId="4" w16cid:durableId="392823009">
    <w:abstractNumId w:val="2"/>
  </w:num>
  <w:num w:numId="5" w16cid:durableId="1401365402">
    <w:abstractNumId w:val="12"/>
  </w:num>
  <w:num w:numId="6" w16cid:durableId="1125273872">
    <w:abstractNumId w:val="1"/>
  </w:num>
  <w:num w:numId="7" w16cid:durableId="104160340">
    <w:abstractNumId w:val="7"/>
  </w:num>
  <w:num w:numId="8" w16cid:durableId="1502889670">
    <w:abstractNumId w:val="10"/>
  </w:num>
  <w:num w:numId="9" w16cid:durableId="1541630903">
    <w:abstractNumId w:val="9"/>
  </w:num>
  <w:num w:numId="10" w16cid:durableId="1479345013">
    <w:abstractNumId w:val="6"/>
  </w:num>
  <w:num w:numId="11" w16cid:durableId="1656833457">
    <w:abstractNumId w:val="11"/>
  </w:num>
  <w:num w:numId="12" w16cid:durableId="1286347662">
    <w:abstractNumId w:val="5"/>
  </w:num>
  <w:num w:numId="13" w16cid:durableId="270476536">
    <w:abstractNumId w:val="0"/>
  </w:num>
  <w:num w:numId="14" w16cid:durableId="1359506810">
    <w:abstractNumId w:val="14"/>
  </w:num>
  <w:num w:numId="15" w16cid:durableId="1471247758">
    <w:abstractNumId w:val="4"/>
  </w:num>
  <w:num w:numId="16" w16cid:durableId="1004169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F"/>
    <w:rsid w:val="00016034"/>
    <w:rsid w:val="00020E1A"/>
    <w:rsid w:val="000248B7"/>
    <w:rsid w:val="000266D6"/>
    <w:rsid w:val="0003325D"/>
    <w:rsid w:val="00033F8B"/>
    <w:rsid w:val="00034F28"/>
    <w:rsid w:val="00035179"/>
    <w:rsid w:val="00042B5D"/>
    <w:rsid w:val="000436C4"/>
    <w:rsid w:val="00046BA0"/>
    <w:rsid w:val="00047D85"/>
    <w:rsid w:val="000506F3"/>
    <w:rsid w:val="00065431"/>
    <w:rsid w:val="000665F7"/>
    <w:rsid w:val="00067066"/>
    <w:rsid w:val="0008374C"/>
    <w:rsid w:val="0008439C"/>
    <w:rsid w:val="000944E3"/>
    <w:rsid w:val="000A04E5"/>
    <w:rsid w:val="000A3A48"/>
    <w:rsid w:val="000A3E38"/>
    <w:rsid w:val="000A6C94"/>
    <w:rsid w:val="000B1068"/>
    <w:rsid w:val="000C35A6"/>
    <w:rsid w:val="000C3AF1"/>
    <w:rsid w:val="000C530A"/>
    <w:rsid w:val="000D3825"/>
    <w:rsid w:val="000D54DF"/>
    <w:rsid w:val="000D68CA"/>
    <w:rsid w:val="000F0FDF"/>
    <w:rsid w:val="000F48BB"/>
    <w:rsid w:val="000F72E5"/>
    <w:rsid w:val="00104147"/>
    <w:rsid w:val="00114F3F"/>
    <w:rsid w:val="00126E5C"/>
    <w:rsid w:val="00131AEE"/>
    <w:rsid w:val="00135215"/>
    <w:rsid w:val="00145D6E"/>
    <w:rsid w:val="00145DF0"/>
    <w:rsid w:val="001469BD"/>
    <w:rsid w:val="00162FD2"/>
    <w:rsid w:val="00163603"/>
    <w:rsid w:val="0017064E"/>
    <w:rsid w:val="00176501"/>
    <w:rsid w:val="00177138"/>
    <w:rsid w:val="001874C5"/>
    <w:rsid w:val="0018794F"/>
    <w:rsid w:val="001921AF"/>
    <w:rsid w:val="00193375"/>
    <w:rsid w:val="0019421D"/>
    <w:rsid w:val="001A3EBC"/>
    <w:rsid w:val="001A3F1D"/>
    <w:rsid w:val="001B0154"/>
    <w:rsid w:val="001B468A"/>
    <w:rsid w:val="001B6204"/>
    <w:rsid w:val="001B7009"/>
    <w:rsid w:val="001C16C9"/>
    <w:rsid w:val="001C3E00"/>
    <w:rsid w:val="001C648B"/>
    <w:rsid w:val="001C6895"/>
    <w:rsid w:val="001D1401"/>
    <w:rsid w:val="001D23D6"/>
    <w:rsid w:val="001D34EC"/>
    <w:rsid w:val="001E1036"/>
    <w:rsid w:val="001F128D"/>
    <w:rsid w:val="001F46EB"/>
    <w:rsid w:val="00202699"/>
    <w:rsid w:val="00205BA0"/>
    <w:rsid w:val="00210F6C"/>
    <w:rsid w:val="00217416"/>
    <w:rsid w:val="00217C73"/>
    <w:rsid w:val="00222799"/>
    <w:rsid w:val="00225C9C"/>
    <w:rsid w:val="0022621D"/>
    <w:rsid w:val="0022649C"/>
    <w:rsid w:val="0022655C"/>
    <w:rsid w:val="00227CBD"/>
    <w:rsid w:val="00231D1B"/>
    <w:rsid w:val="00242B3B"/>
    <w:rsid w:val="002538AA"/>
    <w:rsid w:val="00274D8E"/>
    <w:rsid w:val="002919CE"/>
    <w:rsid w:val="0029318F"/>
    <w:rsid w:val="00295DC7"/>
    <w:rsid w:val="00297C45"/>
    <w:rsid w:val="002A5095"/>
    <w:rsid w:val="002B141D"/>
    <w:rsid w:val="002B58D3"/>
    <w:rsid w:val="002B7812"/>
    <w:rsid w:val="002C4C4B"/>
    <w:rsid w:val="002C7564"/>
    <w:rsid w:val="002D0D90"/>
    <w:rsid w:val="002D27BB"/>
    <w:rsid w:val="002D575B"/>
    <w:rsid w:val="002D5D91"/>
    <w:rsid w:val="002E195A"/>
    <w:rsid w:val="002E6614"/>
    <w:rsid w:val="002E6C6A"/>
    <w:rsid w:val="002E7F12"/>
    <w:rsid w:val="002F3780"/>
    <w:rsid w:val="002F6249"/>
    <w:rsid w:val="002F73EC"/>
    <w:rsid w:val="003015AB"/>
    <w:rsid w:val="00312323"/>
    <w:rsid w:val="003153D0"/>
    <w:rsid w:val="003178B1"/>
    <w:rsid w:val="003231EC"/>
    <w:rsid w:val="00326A65"/>
    <w:rsid w:val="00332741"/>
    <w:rsid w:val="0033586A"/>
    <w:rsid w:val="00351F7B"/>
    <w:rsid w:val="003545D8"/>
    <w:rsid w:val="003546E5"/>
    <w:rsid w:val="00354F1C"/>
    <w:rsid w:val="00363C37"/>
    <w:rsid w:val="00364D92"/>
    <w:rsid w:val="00364FA9"/>
    <w:rsid w:val="003708E3"/>
    <w:rsid w:val="00370EAE"/>
    <w:rsid w:val="00380CB5"/>
    <w:rsid w:val="00383746"/>
    <w:rsid w:val="00393836"/>
    <w:rsid w:val="00393B6D"/>
    <w:rsid w:val="003A4DFB"/>
    <w:rsid w:val="003B2A7E"/>
    <w:rsid w:val="003B370B"/>
    <w:rsid w:val="003C56D1"/>
    <w:rsid w:val="003D3D16"/>
    <w:rsid w:val="003E3B60"/>
    <w:rsid w:val="003F5C15"/>
    <w:rsid w:val="00400A66"/>
    <w:rsid w:val="0040239D"/>
    <w:rsid w:val="00406F49"/>
    <w:rsid w:val="00412559"/>
    <w:rsid w:val="00414B79"/>
    <w:rsid w:val="004167EB"/>
    <w:rsid w:val="004223A7"/>
    <w:rsid w:val="00424FA2"/>
    <w:rsid w:val="00425168"/>
    <w:rsid w:val="004301D5"/>
    <w:rsid w:val="00432860"/>
    <w:rsid w:val="0043443E"/>
    <w:rsid w:val="004459CC"/>
    <w:rsid w:val="00447AE5"/>
    <w:rsid w:val="004519A1"/>
    <w:rsid w:val="004565DB"/>
    <w:rsid w:val="00462801"/>
    <w:rsid w:val="00462C4B"/>
    <w:rsid w:val="00465452"/>
    <w:rsid w:val="0047495F"/>
    <w:rsid w:val="00476DBE"/>
    <w:rsid w:val="00480C1D"/>
    <w:rsid w:val="00481427"/>
    <w:rsid w:val="0048513A"/>
    <w:rsid w:val="004854E9"/>
    <w:rsid w:val="00493569"/>
    <w:rsid w:val="004A0B73"/>
    <w:rsid w:val="004A717F"/>
    <w:rsid w:val="004A76E0"/>
    <w:rsid w:val="004B091E"/>
    <w:rsid w:val="004C7143"/>
    <w:rsid w:val="004C7A0D"/>
    <w:rsid w:val="004D2013"/>
    <w:rsid w:val="004D3209"/>
    <w:rsid w:val="004E3B26"/>
    <w:rsid w:val="004E7F33"/>
    <w:rsid w:val="004F20B0"/>
    <w:rsid w:val="004F4D2C"/>
    <w:rsid w:val="005033B1"/>
    <w:rsid w:val="005049FF"/>
    <w:rsid w:val="005069AE"/>
    <w:rsid w:val="00512113"/>
    <w:rsid w:val="0051270C"/>
    <w:rsid w:val="00512C2D"/>
    <w:rsid w:val="00545F5D"/>
    <w:rsid w:val="00547422"/>
    <w:rsid w:val="00553118"/>
    <w:rsid w:val="00570B8E"/>
    <w:rsid w:val="00583150"/>
    <w:rsid w:val="00584BC1"/>
    <w:rsid w:val="005878B7"/>
    <w:rsid w:val="005A2907"/>
    <w:rsid w:val="005A2CC4"/>
    <w:rsid w:val="005A3D53"/>
    <w:rsid w:val="005C1404"/>
    <w:rsid w:val="005C1411"/>
    <w:rsid w:val="005D0E07"/>
    <w:rsid w:val="005D301C"/>
    <w:rsid w:val="005E3358"/>
    <w:rsid w:val="005F14B6"/>
    <w:rsid w:val="005F6BF3"/>
    <w:rsid w:val="0060270F"/>
    <w:rsid w:val="00605911"/>
    <w:rsid w:val="00614B51"/>
    <w:rsid w:val="006210BC"/>
    <w:rsid w:val="00630352"/>
    <w:rsid w:val="00632ABA"/>
    <w:rsid w:val="0064687D"/>
    <w:rsid w:val="00653654"/>
    <w:rsid w:val="00657399"/>
    <w:rsid w:val="00661900"/>
    <w:rsid w:val="006746B5"/>
    <w:rsid w:val="00677936"/>
    <w:rsid w:val="006827E2"/>
    <w:rsid w:val="00685224"/>
    <w:rsid w:val="00686A23"/>
    <w:rsid w:val="00693853"/>
    <w:rsid w:val="006947DA"/>
    <w:rsid w:val="006A06CA"/>
    <w:rsid w:val="006A47D4"/>
    <w:rsid w:val="006A7313"/>
    <w:rsid w:val="006A7B92"/>
    <w:rsid w:val="006B0D70"/>
    <w:rsid w:val="006B38C4"/>
    <w:rsid w:val="006B3F43"/>
    <w:rsid w:val="006B6CF7"/>
    <w:rsid w:val="006B72BD"/>
    <w:rsid w:val="006C2DE8"/>
    <w:rsid w:val="006C56F2"/>
    <w:rsid w:val="006C66D6"/>
    <w:rsid w:val="006D3546"/>
    <w:rsid w:val="006D5CD9"/>
    <w:rsid w:val="006D5FD5"/>
    <w:rsid w:val="006E1023"/>
    <w:rsid w:val="006E32E0"/>
    <w:rsid w:val="006E4CCC"/>
    <w:rsid w:val="006E5400"/>
    <w:rsid w:val="006E7D7B"/>
    <w:rsid w:val="00700D7A"/>
    <w:rsid w:val="00704696"/>
    <w:rsid w:val="007049A3"/>
    <w:rsid w:val="00706586"/>
    <w:rsid w:val="00710A8D"/>
    <w:rsid w:val="00715417"/>
    <w:rsid w:val="00716D20"/>
    <w:rsid w:val="00717E28"/>
    <w:rsid w:val="00725D8D"/>
    <w:rsid w:val="0072766F"/>
    <w:rsid w:val="00746568"/>
    <w:rsid w:val="007545A2"/>
    <w:rsid w:val="00756317"/>
    <w:rsid w:val="00763E3C"/>
    <w:rsid w:val="007746FA"/>
    <w:rsid w:val="00785D3C"/>
    <w:rsid w:val="007A3A86"/>
    <w:rsid w:val="007B2ABA"/>
    <w:rsid w:val="007B519A"/>
    <w:rsid w:val="007C3A05"/>
    <w:rsid w:val="007D10F8"/>
    <w:rsid w:val="007E1420"/>
    <w:rsid w:val="007E1993"/>
    <w:rsid w:val="007E41B4"/>
    <w:rsid w:val="007F5BC3"/>
    <w:rsid w:val="00817E51"/>
    <w:rsid w:val="00836C1C"/>
    <w:rsid w:val="008471B5"/>
    <w:rsid w:val="00861EA7"/>
    <w:rsid w:val="00863EBE"/>
    <w:rsid w:val="00873101"/>
    <w:rsid w:val="00880CFB"/>
    <w:rsid w:val="00881F4A"/>
    <w:rsid w:val="00882FD1"/>
    <w:rsid w:val="00883C45"/>
    <w:rsid w:val="00890CD4"/>
    <w:rsid w:val="008925F2"/>
    <w:rsid w:val="008B11D1"/>
    <w:rsid w:val="008C2A7A"/>
    <w:rsid w:val="008F2951"/>
    <w:rsid w:val="008F36A6"/>
    <w:rsid w:val="008F6F41"/>
    <w:rsid w:val="009010D7"/>
    <w:rsid w:val="00903EC2"/>
    <w:rsid w:val="00912F30"/>
    <w:rsid w:val="0091412E"/>
    <w:rsid w:val="0092068B"/>
    <w:rsid w:val="009209BE"/>
    <w:rsid w:val="00926CF0"/>
    <w:rsid w:val="009328E0"/>
    <w:rsid w:val="00933FBB"/>
    <w:rsid w:val="00942119"/>
    <w:rsid w:val="00950776"/>
    <w:rsid w:val="00955756"/>
    <w:rsid w:val="00957CD9"/>
    <w:rsid w:val="0097079B"/>
    <w:rsid w:val="00971410"/>
    <w:rsid w:val="009723A3"/>
    <w:rsid w:val="00995D2B"/>
    <w:rsid w:val="009978EF"/>
    <w:rsid w:val="009A0A07"/>
    <w:rsid w:val="009A1374"/>
    <w:rsid w:val="009A72D8"/>
    <w:rsid w:val="009B5DB5"/>
    <w:rsid w:val="009C101A"/>
    <w:rsid w:val="009C53F0"/>
    <w:rsid w:val="009C65D8"/>
    <w:rsid w:val="009D4131"/>
    <w:rsid w:val="009E0C98"/>
    <w:rsid w:val="009F2512"/>
    <w:rsid w:val="009F58D1"/>
    <w:rsid w:val="00A02E66"/>
    <w:rsid w:val="00A045D0"/>
    <w:rsid w:val="00A10B91"/>
    <w:rsid w:val="00A10FF4"/>
    <w:rsid w:val="00A12AF7"/>
    <w:rsid w:val="00A17019"/>
    <w:rsid w:val="00A252C7"/>
    <w:rsid w:val="00A30E06"/>
    <w:rsid w:val="00A31B36"/>
    <w:rsid w:val="00A3306E"/>
    <w:rsid w:val="00A3363E"/>
    <w:rsid w:val="00A33853"/>
    <w:rsid w:val="00A3457C"/>
    <w:rsid w:val="00A4739F"/>
    <w:rsid w:val="00A570B1"/>
    <w:rsid w:val="00A57741"/>
    <w:rsid w:val="00A674C6"/>
    <w:rsid w:val="00A7380B"/>
    <w:rsid w:val="00A85120"/>
    <w:rsid w:val="00A8636A"/>
    <w:rsid w:val="00A901CE"/>
    <w:rsid w:val="00A955A8"/>
    <w:rsid w:val="00A97F02"/>
    <w:rsid w:val="00AB4DFF"/>
    <w:rsid w:val="00AC24F3"/>
    <w:rsid w:val="00AC6687"/>
    <w:rsid w:val="00AD1E33"/>
    <w:rsid w:val="00AD2FA3"/>
    <w:rsid w:val="00AD7CBC"/>
    <w:rsid w:val="00AE1665"/>
    <w:rsid w:val="00AF362B"/>
    <w:rsid w:val="00AF765F"/>
    <w:rsid w:val="00AF7B80"/>
    <w:rsid w:val="00B01D3C"/>
    <w:rsid w:val="00B04D26"/>
    <w:rsid w:val="00B24031"/>
    <w:rsid w:val="00B24991"/>
    <w:rsid w:val="00B25171"/>
    <w:rsid w:val="00B25D37"/>
    <w:rsid w:val="00B264CD"/>
    <w:rsid w:val="00B318F4"/>
    <w:rsid w:val="00B31AA7"/>
    <w:rsid w:val="00B32988"/>
    <w:rsid w:val="00B46EA9"/>
    <w:rsid w:val="00B47FF0"/>
    <w:rsid w:val="00B57DEA"/>
    <w:rsid w:val="00B61DC1"/>
    <w:rsid w:val="00B62861"/>
    <w:rsid w:val="00B64F33"/>
    <w:rsid w:val="00B72730"/>
    <w:rsid w:val="00B72E4E"/>
    <w:rsid w:val="00B922EF"/>
    <w:rsid w:val="00B95F9A"/>
    <w:rsid w:val="00BA04AC"/>
    <w:rsid w:val="00BA6642"/>
    <w:rsid w:val="00BB3F2D"/>
    <w:rsid w:val="00BC0F7E"/>
    <w:rsid w:val="00BC1D5F"/>
    <w:rsid w:val="00BC2D88"/>
    <w:rsid w:val="00BD1600"/>
    <w:rsid w:val="00BD25E9"/>
    <w:rsid w:val="00BD59EA"/>
    <w:rsid w:val="00BD76B7"/>
    <w:rsid w:val="00BE0E84"/>
    <w:rsid w:val="00BE2A1C"/>
    <w:rsid w:val="00BE6F0D"/>
    <w:rsid w:val="00C00665"/>
    <w:rsid w:val="00C134AA"/>
    <w:rsid w:val="00C14EC7"/>
    <w:rsid w:val="00C16AAA"/>
    <w:rsid w:val="00C20758"/>
    <w:rsid w:val="00C333D7"/>
    <w:rsid w:val="00C42D5C"/>
    <w:rsid w:val="00C469EA"/>
    <w:rsid w:val="00C5274B"/>
    <w:rsid w:val="00C54DB4"/>
    <w:rsid w:val="00C55AC6"/>
    <w:rsid w:val="00C638FA"/>
    <w:rsid w:val="00C64326"/>
    <w:rsid w:val="00C644E5"/>
    <w:rsid w:val="00C67F32"/>
    <w:rsid w:val="00C724F4"/>
    <w:rsid w:val="00C73B70"/>
    <w:rsid w:val="00C73DF1"/>
    <w:rsid w:val="00C81091"/>
    <w:rsid w:val="00C82A15"/>
    <w:rsid w:val="00C82FF5"/>
    <w:rsid w:val="00C867FA"/>
    <w:rsid w:val="00C92390"/>
    <w:rsid w:val="00C96695"/>
    <w:rsid w:val="00CA4B9F"/>
    <w:rsid w:val="00CA6BE0"/>
    <w:rsid w:val="00CA736A"/>
    <w:rsid w:val="00CA73F1"/>
    <w:rsid w:val="00CB14B9"/>
    <w:rsid w:val="00CB1A92"/>
    <w:rsid w:val="00CC296A"/>
    <w:rsid w:val="00CD64FE"/>
    <w:rsid w:val="00CD77C9"/>
    <w:rsid w:val="00CE17FE"/>
    <w:rsid w:val="00CE5D3D"/>
    <w:rsid w:val="00CF291E"/>
    <w:rsid w:val="00CF36A5"/>
    <w:rsid w:val="00CF3EBE"/>
    <w:rsid w:val="00D033BC"/>
    <w:rsid w:val="00D04E1F"/>
    <w:rsid w:val="00D059B7"/>
    <w:rsid w:val="00D1609B"/>
    <w:rsid w:val="00D17CE1"/>
    <w:rsid w:val="00D3321C"/>
    <w:rsid w:val="00D43804"/>
    <w:rsid w:val="00D5141A"/>
    <w:rsid w:val="00D60A4C"/>
    <w:rsid w:val="00D631E2"/>
    <w:rsid w:val="00D67608"/>
    <w:rsid w:val="00D70E4D"/>
    <w:rsid w:val="00D73A66"/>
    <w:rsid w:val="00D822B8"/>
    <w:rsid w:val="00DA0218"/>
    <w:rsid w:val="00DA10FE"/>
    <w:rsid w:val="00DA14E8"/>
    <w:rsid w:val="00DA6402"/>
    <w:rsid w:val="00DB7120"/>
    <w:rsid w:val="00DC5F4C"/>
    <w:rsid w:val="00DD64CE"/>
    <w:rsid w:val="00DD7F96"/>
    <w:rsid w:val="00DE067E"/>
    <w:rsid w:val="00DE51B7"/>
    <w:rsid w:val="00DE70A6"/>
    <w:rsid w:val="00DF1269"/>
    <w:rsid w:val="00DF1CE7"/>
    <w:rsid w:val="00E02329"/>
    <w:rsid w:val="00E02CEC"/>
    <w:rsid w:val="00E042F8"/>
    <w:rsid w:val="00E07B92"/>
    <w:rsid w:val="00E1723D"/>
    <w:rsid w:val="00E3281D"/>
    <w:rsid w:val="00E41D52"/>
    <w:rsid w:val="00E43717"/>
    <w:rsid w:val="00E50107"/>
    <w:rsid w:val="00E50842"/>
    <w:rsid w:val="00E53860"/>
    <w:rsid w:val="00E54F34"/>
    <w:rsid w:val="00E6082F"/>
    <w:rsid w:val="00E61B85"/>
    <w:rsid w:val="00E76C32"/>
    <w:rsid w:val="00E834D2"/>
    <w:rsid w:val="00E95B54"/>
    <w:rsid w:val="00EA1C06"/>
    <w:rsid w:val="00EA2D4C"/>
    <w:rsid w:val="00EB3201"/>
    <w:rsid w:val="00EB70F5"/>
    <w:rsid w:val="00EB74BC"/>
    <w:rsid w:val="00EC133D"/>
    <w:rsid w:val="00EC3504"/>
    <w:rsid w:val="00EC496B"/>
    <w:rsid w:val="00EC618A"/>
    <w:rsid w:val="00ED215D"/>
    <w:rsid w:val="00ED2960"/>
    <w:rsid w:val="00ED2AC5"/>
    <w:rsid w:val="00ED36F7"/>
    <w:rsid w:val="00ED5674"/>
    <w:rsid w:val="00ED7524"/>
    <w:rsid w:val="00EF1D32"/>
    <w:rsid w:val="00EF206B"/>
    <w:rsid w:val="00F01A47"/>
    <w:rsid w:val="00F06818"/>
    <w:rsid w:val="00F305DC"/>
    <w:rsid w:val="00F32DF4"/>
    <w:rsid w:val="00F43478"/>
    <w:rsid w:val="00F47867"/>
    <w:rsid w:val="00F5143C"/>
    <w:rsid w:val="00F51761"/>
    <w:rsid w:val="00F52796"/>
    <w:rsid w:val="00F542A2"/>
    <w:rsid w:val="00F61F3C"/>
    <w:rsid w:val="00F709E7"/>
    <w:rsid w:val="00F82F04"/>
    <w:rsid w:val="00F95763"/>
    <w:rsid w:val="00FA5204"/>
    <w:rsid w:val="00FB4E3E"/>
    <w:rsid w:val="00FB7497"/>
    <w:rsid w:val="00FC07ED"/>
    <w:rsid w:val="00FC3D0A"/>
    <w:rsid w:val="00FD0426"/>
    <w:rsid w:val="00FD22DE"/>
    <w:rsid w:val="00FE2E76"/>
    <w:rsid w:val="00FF02AA"/>
    <w:rsid w:val="00FF0F3D"/>
    <w:rsid w:val="00FF473E"/>
    <w:rsid w:val="00FF74C4"/>
    <w:rsid w:val="1062D038"/>
    <w:rsid w:val="1419B71B"/>
    <w:rsid w:val="24EB0988"/>
    <w:rsid w:val="2F6B66B0"/>
    <w:rsid w:val="34971C3A"/>
    <w:rsid w:val="36E383C0"/>
    <w:rsid w:val="41BE7CD0"/>
    <w:rsid w:val="54143DC3"/>
    <w:rsid w:val="5FA6EED3"/>
    <w:rsid w:val="6330697B"/>
    <w:rsid w:val="68E39C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F529"/>
  <w15:chartTrackingRefBased/>
  <w15:docId w15:val="{E65AFEB7-B7EE-4C19-8DB4-194958B1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E1F"/>
    <w:rPr>
      <w:rFonts w:eastAsiaTheme="majorEastAsia" w:cstheme="majorBidi"/>
      <w:color w:val="272727" w:themeColor="text1" w:themeTint="D8"/>
    </w:rPr>
  </w:style>
  <w:style w:type="paragraph" w:styleId="Title">
    <w:name w:val="Title"/>
    <w:basedOn w:val="Normal"/>
    <w:next w:val="Normal"/>
    <w:link w:val="TitleChar"/>
    <w:uiPriority w:val="10"/>
    <w:qFormat/>
    <w:rsid w:val="00D04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E1F"/>
    <w:pPr>
      <w:spacing w:before="160"/>
      <w:jc w:val="center"/>
    </w:pPr>
    <w:rPr>
      <w:i/>
      <w:iCs/>
      <w:color w:val="404040" w:themeColor="text1" w:themeTint="BF"/>
    </w:rPr>
  </w:style>
  <w:style w:type="character" w:customStyle="1" w:styleId="QuoteChar">
    <w:name w:val="Quote Char"/>
    <w:basedOn w:val="DefaultParagraphFont"/>
    <w:link w:val="Quote"/>
    <w:uiPriority w:val="29"/>
    <w:rsid w:val="00D04E1F"/>
    <w:rPr>
      <w:i/>
      <w:iCs/>
      <w:color w:val="404040" w:themeColor="text1" w:themeTint="BF"/>
    </w:rPr>
  </w:style>
  <w:style w:type="paragraph" w:styleId="ListParagraph">
    <w:name w:val="List Paragraph"/>
    <w:basedOn w:val="Normal"/>
    <w:link w:val="ListParagraphChar"/>
    <w:uiPriority w:val="34"/>
    <w:qFormat/>
    <w:rsid w:val="00D04E1F"/>
    <w:pPr>
      <w:ind w:left="720"/>
      <w:contextualSpacing/>
    </w:pPr>
  </w:style>
  <w:style w:type="character" w:styleId="IntenseEmphasis">
    <w:name w:val="Intense Emphasis"/>
    <w:basedOn w:val="DefaultParagraphFont"/>
    <w:uiPriority w:val="21"/>
    <w:qFormat/>
    <w:rsid w:val="00D04E1F"/>
    <w:rPr>
      <w:i/>
      <w:iCs/>
      <w:color w:val="0F4761" w:themeColor="accent1" w:themeShade="BF"/>
    </w:rPr>
  </w:style>
  <w:style w:type="paragraph" w:styleId="IntenseQuote">
    <w:name w:val="Intense Quote"/>
    <w:basedOn w:val="Normal"/>
    <w:next w:val="Normal"/>
    <w:link w:val="IntenseQuoteChar"/>
    <w:uiPriority w:val="30"/>
    <w:qFormat/>
    <w:rsid w:val="00D04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E1F"/>
    <w:rPr>
      <w:i/>
      <w:iCs/>
      <w:color w:val="0F4761" w:themeColor="accent1" w:themeShade="BF"/>
    </w:rPr>
  </w:style>
  <w:style w:type="character" w:styleId="IntenseReference">
    <w:name w:val="Intense Reference"/>
    <w:basedOn w:val="DefaultParagraphFont"/>
    <w:uiPriority w:val="32"/>
    <w:qFormat/>
    <w:rsid w:val="00D04E1F"/>
    <w:rPr>
      <w:b/>
      <w:bCs/>
      <w:smallCaps/>
      <w:color w:val="0F4761" w:themeColor="accent1" w:themeShade="BF"/>
      <w:spacing w:val="5"/>
    </w:rPr>
  </w:style>
  <w:style w:type="character" w:styleId="Hyperlink">
    <w:name w:val="Hyperlink"/>
    <w:basedOn w:val="DefaultParagraphFont"/>
    <w:uiPriority w:val="99"/>
    <w:unhideWhenUsed/>
    <w:rsid w:val="001B7009"/>
    <w:rPr>
      <w:color w:val="467886" w:themeColor="hyperlink"/>
      <w:u w:val="single"/>
    </w:rPr>
  </w:style>
  <w:style w:type="character" w:styleId="UnresolvedMention">
    <w:name w:val="Unresolved Mention"/>
    <w:basedOn w:val="DefaultParagraphFont"/>
    <w:uiPriority w:val="99"/>
    <w:semiHidden/>
    <w:unhideWhenUsed/>
    <w:rsid w:val="001B7009"/>
    <w:rPr>
      <w:color w:val="605E5C"/>
      <w:shd w:val="clear" w:color="auto" w:fill="E1DFDD"/>
    </w:rPr>
  </w:style>
  <w:style w:type="paragraph" w:styleId="Header">
    <w:name w:val="header"/>
    <w:basedOn w:val="Normal"/>
    <w:link w:val="HeaderChar"/>
    <w:uiPriority w:val="99"/>
    <w:unhideWhenUsed/>
    <w:rsid w:val="00BE2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1C"/>
  </w:style>
  <w:style w:type="paragraph" w:styleId="Footer">
    <w:name w:val="footer"/>
    <w:basedOn w:val="Normal"/>
    <w:link w:val="FooterChar"/>
    <w:uiPriority w:val="99"/>
    <w:unhideWhenUsed/>
    <w:rsid w:val="00BE2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1C"/>
  </w:style>
  <w:style w:type="paragraph" w:styleId="NormalWeb">
    <w:name w:val="Normal (Web)"/>
    <w:basedOn w:val="Normal"/>
    <w:uiPriority w:val="99"/>
    <w:semiHidden/>
    <w:unhideWhenUsed/>
    <w:rsid w:val="009C53F0"/>
    <w:rPr>
      <w:rFonts w:ascii="Times New Roman" w:hAnsi="Times New Roman" w:cs="Times New Roman"/>
      <w:sz w:val="24"/>
      <w:szCs w:val="24"/>
    </w:rPr>
  </w:style>
  <w:style w:type="table" w:styleId="TableGrid">
    <w:name w:val="Table Grid"/>
    <w:basedOn w:val="TableNormal"/>
    <w:uiPriority w:val="39"/>
    <w:rsid w:val="0069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4739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128D"/>
    <w:pPr>
      <w:spacing w:after="0" w:line="240" w:lineRule="auto"/>
    </w:pPr>
  </w:style>
  <w:style w:type="paragraph" w:styleId="CommentSubject">
    <w:name w:val="annotation subject"/>
    <w:basedOn w:val="CommentText"/>
    <w:next w:val="CommentText"/>
    <w:link w:val="CommentSubjectChar"/>
    <w:uiPriority w:val="99"/>
    <w:semiHidden/>
    <w:unhideWhenUsed/>
    <w:rsid w:val="00210F6C"/>
    <w:rPr>
      <w:b/>
      <w:bCs/>
    </w:rPr>
  </w:style>
  <w:style w:type="character" w:customStyle="1" w:styleId="CommentSubjectChar">
    <w:name w:val="Comment Subject Char"/>
    <w:basedOn w:val="CommentTextChar"/>
    <w:link w:val="CommentSubject"/>
    <w:uiPriority w:val="99"/>
    <w:semiHidden/>
    <w:rsid w:val="00210F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3036">
      <w:bodyDiv w:val="1"/>
      <w:marLeft w:val="0"/>
      <w:marRight w:val="0"/>
      <w:marTop w:val="0"/>
      <w:marBottom w:val="0"/>
      <w:divBdr>
        <w:top w:val="none" w:sz="0" w:space="0" w:color="auto"/>
        <w:left w:val="none" w:sz="0" w:space="0" w:color="auto"/>
        <w:bottom w:val="none" w:sz="0" w:space="0" w:color="auto"/>
        <w:right w:val="none" w:sz="0" w:space="0" w:color="auto"/>
      </w:divBdr>
    </w:div>
    <w:div w:id="646787709">
      <w:bodyDiv w:val="1"/>
      <w:marLeft w:val="0"/>
      <w:marRight w:val="0"/>
      <w:marTop w:val="0"/>
      <w:marBottom w:val="0"/>
      <w:divBdr>
        <w:top w:val="none" w:sz="0" w:space="0" w:color="auto"/>
        <w:left w:val="none" w:sz="0" w:space="0" w:color="auto"/>
        <w:bottom w:val="none" w:sz="0" w:space="0" w:color="auto"/>
        <w:right w:val="none" w:sz="0" w:space="0" w:color="auto"/>
      </w:divBdr>
    </w:div>
    <w:div w:id="946885601">
      <w:bodyDiv w:val="1"/>
      <w:marLeft w:val="0"/>
      <w:marRight w:val="0"/>
      <w:marTop w:val="0"/>
      <w:marBottom w:val="0"/>
      <w:divBdr>
        <w:top w:val="none" w:sz="0" w:space="0" w:color="auto"/>
        <w:left w:val="none" w:sz="0" w:space="0" w:color="auto"/>
        <w:bottom w:val="none" w:sz="0" w:space="0" w:color="auto"/>
        <w:right w:val="none" w:sz="0" w:space="0" w:color="auto"/>
      </w:divBdr>
    </w:div>
    <w:div w:id="962610409">
      <w:bodyDiv w:val="1"/>
      <w:marLeft w:val="0"/>
      <w:marRight w:val="0"/>
      <w:marTop w:val="0"/>
      <w:marBottom w:val="0"/>
      <w:divBdr>
        <w:top w:val="none" w:sz="0" w:space="0" w:color="auto"/>
        <w:left w:val="none" w:sz="0" w:space="0" w:color="auto"/>
        <w:bottom w:val="none" w:sz="0" w:space="0" w:color="auto"/>
        <w:right w:val="none" w:sz="0" w:space="0" w:color="auto"/>
      </w:divBdr>
      <w:divsChild>
        <w:div w:id="1754156859">
          <w:marLeft w:val="0"/>
          <w:marRight w:val="0"/>
          <w:marTop w:val="0"/>
          <w:marBottom w:val="0"/>
          <w:divBdr>
            <w:top w:val="none" w:sz="0" w:space="0" w:color="auto"/>
            <w:left w:val="none" w:sz="0" w:space="0" w:color="auto"/>
            <w:bottom w:val="none" w:sz="0" w:space="0" w:color="auto"/>
            <w:right w:val="none" w:sz="0" w:space="0" w:color="auto"/>
          </w:divBdr>
          <w:divsChild>
            <w:div w:id="262688793">
              <w:marLeft w:val="0"/>
              <w:marRight w:val="0"/>
              <w:marTop w:val="0"/>
              <w:marBottom w:val="0"/>
              <w:divBdr>
                <w:top w:val="none" w:sz="0" w:space="0" w:color="auto"/>
                <w:left w:val="none" w:sz="0" w:space="0" w:color="auto"/>
                <w:bottom w:val="none" w:sz="0" w:space="0" w:color="auto"/>
                <w:right w:val="none" w:sz="0" w:space="0" w:color="auto"/>
              </w:divBdr>
              <w:divsChild>
                <w:div w:id="1941520806">
                  <w:marLeft w:val="0"/>
                  <w:marRight w:val="0"/>
                  <w:marTop w:val="0"/>
                  <w:marBottom w:val="0"/>
                  <w:divBdr>
                    <w:top w:val="none" w:sz="0" w:space="0" w:color="auto"/>
                    <w:left w:val="none" w:sz="0" w:space="0" w:color="auto"/>
                    <w:bottom w:val="none" w:sz="0" w:space="0" w:color="auto"/>
                    <w:right w:val="none" w:sz="0" w:space="0" w:color="auto"/>
                  </w:divBdr>
                  <w:divsChild>
                    <w:div w:id="1813860697">
                      <w:marLeft w:val="0"/>
                      <w:marRight w:val="0"/>
                      <w:marTop w:val="0"/>
                      <w:marBottom w:val="0"/>
                      <w:divBdr>
                        <w:top w:val="none" w:sz="0" w:space="0" w:color="auto"/>
                        <w:left w:val="none" w:sz="0" w:space="0" w:color="auto"/>
                        <w:bottom w:val="none" w:sz="0" w:space="0" w:color="auto"/>
                        <w:right w:val="none" w:sz="0" w:space="0" w:color="auto"/>
                      </w:divBdr>
                      <w:divsChild>
                        <w:div w:id="365102847">
                          <w:marLeft w:val="0"/>
                          <w:marRight w:val="0"/>
                          <w:marTop w:val="0"/>
                          <w:marBottom w:val="0"/>
                          <w:divBdr>
                            <w:top w:val="none" w:sz="0" w:space="0" w:color="auto"/>
                            <w:left w:val="none" w:sz="0" w:space="0" w:color="auto"/>
                            <w:bottom w:val="none" w:sz="0" w:space="0" w:color="auto"/>
                            <w:right w:val="none" w:sz="0" w:space="0" w:color="auto"/>
                          </w:divBdr>
                          <w:divsChild>
                            <w:div w:id="1927110083">
                              <w:marLeft w:val="0"/>
                              <w:marRight w:val="0"/>
                              <w:marTop w:val="0"/>
                              <w:marBottom w:val="0"/>
                              <w:divBdr>
                                <w:top w:val="none" w:sz="0" w:space="0" w:color="auto"/>
                                <w:left w:val="none" w:sz="0" w:space="0" w:color="auto"/>
                                <w:bottom w:val="none" w:sz="0" w:space="0" w:color="auto"/>
                                <w:right w:val="none" w:sz="0" w:space="0" w:color="auto"/>
                              </w:divBdr>
                              <w:divsChild>
                                <w:div w:id="847788846">
                                  <w:marLeft w:val="0"/>
                                  <w:marRight w:val="0"/>
                                  <w:marTop w:val="0"/>
                                  <w:marBottom w:val="0"/>
                                  <w:divBdr>
                                    <w:top w:val="none" w:sz="0" w:space="0" w:color="auto"/>
                                    <w:left w:val="none" w:sz="0" w:space="0" w:color="auto"/>
                                    <w:bottom w:val="none" w:sz="0" w:space="0" w:color="auto"/>
                                    <w:right w:val="none" w:sz="0" w:space="0" w:color="auto"/>
                                  </w:divBdr>
                                  <w:divsChild>
                                    <w:div w:id="8528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5136">
      <w:bodyDiv w:val="1"/>
      <w:marLeft w:val="0"/>
      <w:marRight w:val="0"/>
      <w:marTop w:val="0"/>
      <w:marBottom w:val="0"/>
      <w:divBdr>
        <w:top w:val="none" w:sz="0" w:space="0" w:color="auto"/>
        <w:left w:val="none" w:sz="0" w:space="0" w:color="auto"/>
        <w:bottom w:val="none" w:sz="0" w:space="0" w:color="auto"/>
        <w:right w:val="none" w:sz="0" w:space="0" w:color="auto"/>
      </w:divBdr>
      <w:divsChild>
        <w:div w:id="1131171040">
          <w:marLeft w:val="0"/>
          <w:marRight w:val="0"/>
          <w:marTop w:val="0"/>
          <w:marBottom w:val="0"/>
          <w:divBdr>
            <w:top w:val="none" w:sz="0" w:space="0" w:color="auto"/>
            <w:left w:val="none" w:sz="0" w:space="0" w:color="auto"/>
            <w:bottom w:val="none" w:sz="0" w:space="0" w:color="auto"/>
            <w:right w:val="none" w:sz="0" w:space="0" w:color="auto"/>
          </w:divBdr>
          <w:divsChild>
            <w:div w:id="926574004">
              <w:marLeft w:val="0"/>
              <w:marRight w:val="0"/>
              <w:marTop w:val="0"/>
              <w:marBottom w:val="0"/>
              <w:divBdr>
                <w:top w:val="none" w:sz="0" w:space="0" w:color="auto"/>
                <w:left w:val="none" w:sz="0" w:space="0" w:color="auto"/>
                <w:bottom w:val="none" w:sz="0" w:space="0" w:color="auto"/>
                <w:right w:val="none" w:sz="0" w:space="0" w:color="auto"/>
              </w:divBdr>
              <w:divsChild>
                <w:div w:id="1851751124">
                  <w:marLeft w:val="0"/>
                  <w:marRight w:val="0"/>
                  <w:marTop w:val="0"/>
                  <w:marBottom w:val="0"/>
                  <w:divBdr>
                    <w:top w:val="none" w:sz="0" w:space="0" w:color="auto"/>
                    <w:left w:val="none" w:sz="0" w:space="0" w:color="auto"/>
                    <w:bottom w:val="none" w:sz="0" w:space="0" w:color="auto"/>
                    <w:right w:val="none" w:sz="0" w:space="0" w:color="auto"/>
                  </w:divBdr>
                  <w:divsChild>
                    <w:div w:id="1045056610">
                      <w:marLeft w:val="0"/>
                      <w:marRight w:val="0"/>
                      <w:marTop w:val="0"/>
                      <w:marBottom w:val="0"/>
                      <w:divBdr>
                        <w:top w:val="none" w:sz="0" w:space="0" w:color="auto"/>
                        <w:left w:val="none" w:sz="0" w:space="0" w:color="auto"/>
                        <w:bottom w:val="none" w:sz="0" w:space="0" w:color="auto"/>
                        <w:right w:val="none" w:sz="0" w:space="0" w:color="auto"/>
                      </w:divBdr>
                      <w:divsChild>
                        <w:div w:id="169181061">
                          <w:marLeft w:val="0"/>
                          <w:marRight w:val="0"/>
                          <w:marTop w:val="0"/>
                          <w:marBottom w:val="0"/>
                          <w:divBdr>
                            <w:top w:val="none" w:sz="0" w:space="0" w:color="auto"/>
                            <w:left w:val="none" w:sz="0" w:space="0" w:color="auto"/>
                            <w:bottom w:val="none" w:sz="0" w:space="0" w:color="auto"/>
                            <w:right w:val="none" w:sz="0" w:space="0" w:color="auto"/>
                          </w:divBdr>
                          <w:divsChild>
                            <w:div w:id="223487686">
                              <w:marLeft w:val="0"/>
                              <w:marRight w:val="0"/>
                              <w:marTop w:val="0"/>
                              <w:marBottom w:val="0"/>
                              <w:divBdr>
                                <w:top w:val="none" w:sz="0" w:space="0" w:color="auto"/>
                                <w:left w:val="none" w:sz="0" w:space="0" w:color="auto"/>
                                <w:bottom w:val="none" w:sz="0" w:space="0" w:color="auto"/>
                                <w:right w:val="none" w:sz="0" w:space="0" w:color="auto"/>
                              </w:divBdr>
                              <w:divsChild>
                                <w:div w:id="1181240819">
                                  <w:marLeft w:val="0"/>
                                  <w:marRight w:val="0"/>
                                  <w:marTop w:val="0"/>
                                  <w:marBottom w:val="0"/>
                                  <w:divBdr>
                                    <w:top w:val="none" w:sz="0" w:space="0" w:color="auto"/>
                                    <w:left w:val="none" w:sz="0" w:space="0" w:color="auto"/>
                                    <w:bottom w:val="none" w:sz="0" w:space="0" w:color="auto"/>
                                    <w:right w:val="none" w:sz="0" w:space="0" w:color="auto"/>
                                  </w:divBdr>
                                  <w:divsChild>
                                    <w:div w:id="12334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455378">
      <w:bodyDiv w:val="1"/>
      <w:marLeft w:val="0"/>
      <w:marRight w:val="0"/>
      <w:marTop w:val="0"/>
      <w:marBottom w:val="0"/>
      <w:divBdr>
        <w:top w:val="none" w:sz="0" w:space="0" w:color="auto"/>
        <w:left w:val="none" w:sz="0" w:space="0" w:color="auto"/>
        <w:bottom w:val="none" w:sz="0" w:space="0" w:color="auto"/>
        <w:right w:val="none" w:sz="0" w:space="0" w:color="auto"/>
      </w:divBdr>
    </w:div>
    <w:div w:id="1350328624">
      <w:bodyDiv w:val="1"/>
      <w:marLeft w:val="0"/>
      <w:marRight w:val="0"/>
      <w:marTop w:val="0"/>
      <w:marBottom w:val="0"/>
      <w:divBdr>
        <w:top w:val="none" w:sz="0" w:space="0" w:color="auto"/>
        <w:left w:val="none" w:sz="0" w:space="0" w:color="auto"/>
        <w:bottom w:val="none" w:sz="0" w:space="0" w:color="auto"/>
        <w:right w:val="none" w:sz="0" w:space="0" w:color="auto"/>
      </w:divBdr>
    </w:div>
    <w:div w:id="1395280601">
      <w:bodyDiv w:val="1"/>
      <w:marLeft w:val="0"/>
      <w:marRight w:val="0"/>
      <w:marTop w:val="0"/>
      <w:marBottom w:val="0"/>
      <w:divBdr>
        <w:top w:val="none" w:sz="0" w:space="0" w:color="auto"/>
        <w:left w:val="none" w:sz="0" w:space="0" w:color="auto"/>
        <w:bottom w:val="none" w:sz="0" w:space="0" w:color="auto"/>
        <w:right w:val="none" w:sz="0" w:space="0" w:color="auto"/>
      </w:divBdr>
    </w:div>
    <w:div w:id="1432890949">
      <w:bodyDiv w:val="1"/>
      <w:marLeft w:val="0"/>
      <w:marRight w:val="0"/>
      <w:marTop w:val="0"/>
      <w:marBottom w:val="0"/>
      <w:divBdr>
        <w:top w:val="none" w:sz="0" w:space="0" w:color="auto"/>
        <w:left w:val="none" w:sz="0" w:space="0" w:color="auto"/>
        <w:bottom w:val="none" w:sz="0" w:space="0" w:color="auto"/>
        <w:right w:val="none" w:sz="0" w:space="0" w:color="auto"/>
      </w:divBdr>
    </w:div>
    <w:div w:id="1488667305">
      <w:bodyDiv w:val="1"/>
      <w:marLeft w:val="0"/>
      <w:marRight w:val="0"/>
      <w:marTop w:val="0"/>
      <w:marBottom w:val="0"/>
      <w:divBdr>
        <w:top w:val="none" w:sz="0" w:space="0" w:color="auto"/>
        <w:left w:val="none" w:sz="0" w:space="0" w:color="auto"/>
        <w:bottom w:val="none" w:sz="0" w:space="0" w:color="auto"/>
        <w:right w:val="none" w:sz="0" w:space="0" w:color="auto"/>
      </w:divBdr>
    </w:div>
    <w:div w:id="1623419681">
      <w:bodyDiv w:val="1"/>
      <w:marLeft w:val="0"/>
      <w:marRight w:val="0"/>
      <w:marTop w:val="0"/>
      <w:marBottom w:val="0"/>
      <w:divBdr>
        <w:top w:val="none" w:sz="0" w:space="0" w:color="auto"/>
        <w:left w:val="none" w:sz="0" w:space="0" w:color="auto"/>
        <w:bottom w:val="none" w:sz="0" w:space="0" w:color="auto"/>
        <w:right w:val="none" w:sz="0" w:space="0" w:color="auto"/>
      </w:divBdr>
    </w:div>
    <w:div w:id="1726179147">
      <w:bodyDiv w:val="1"/>
      <w:marLeft w:val="0"/>
      <w:marRight w:val="0"/>
      <w:marTop w:val="0"/>
      <w:marBottom w:val="0"/>
      <w:divBdr>
        <w:top w:val="none" w:sz="0" w:space="0" w:color="auto"/>
        <w:left w:val="none" w:sz="0" w:space="0" w:color="auto"/>
        <w:bottom w:val="none" w:sz="0" w:space="0" w:color="auto"/>
        <w:right w:val="none" w:sz="0" w:space="0" w:color="auto"/>
      </w:divBdr>
    </w:div>
    <w:div w:id="1954630584">
      <w:bodyDiv w:val="1"/>
      <w:marLeft w:val="0"/>
      <w:marRight w:val="0"/>
      <w:marTop w:val="0"/>
      <w:marBottom w:val="0"/>
      <w:divBdr>
        <w:top w:val="none" w:sz="0" w:space="0" w:color="auto"/>
        <w:left w:val="none" w:sz="0" w:space="0" w:color="auto"/>
        <w:bottom w:val="none" w:sz="0" w:space="0" w:color="auto"/>
        <w:right w:val="none" w:sz="0" w:space="0" w:color="auto"/>
      </w:divBdr>
    </w:div>
    <w:div w:id="2057924861">
      <w:bodyDiv w:val="1"/>
      <w:marLeft w:val="0"/>
      <w:marRight w:val="0"/>
      <w:marTop w:val="0"/>
      <w:marBottom w:val="0"/>
      <w:divBdr>
        <w:top w:val="none" w:sz="0" w:space="0" w:color="auto"/>
        <w:left w:val="none" w:sz="0" w:space="0" w:color="auto"/>
        <w:bottom w:val="none" w:sz="0" w:space="0" w:color="auto"/>
        <w:right w:val="none" w:sz="0" w:space="0" w:color="auto"/>
      </w:divBdr>
      <w:divsChild>
        <w:div w:id="1265073054">
          <w:marLeft w:val="0"/>
          <w:marRight w:val="0"/>
          <w:marTop w:val="0"/>
          <w:marBottom w:val="0"/>
          <w:divBdr>
            <w:top w:val="none" w:sz="0" w:space="0" w:color="auto"/>
            <w:left w:val="none" w:sz="0" w:space="0" w:color="auto"/>
            <w:bottom w:val="none" w:sz="0" w:space="0" w:color="auto"/>
            <w:right w:val="none" w:sz="0" w:space="0" w:color="auto"/>
          </w:divBdr>
          <w:divsChild>
            <w:div w:id="1769421770">
              <w:marLeft w:val="0"/>
              <w:marRight w:val="0"/>
              <w:marTop w:val="0"/>
              <w:marBottom w:val="0"/>
              <w:divBdr>
                <w:top w:val="none" w:sz="0" w:space="0" w:color="auto"/>
                <w:left w:val="none" w:sz="0" w:space="0" w:color="auto"/>
                <w:bottom w:val="none" w:sz="0" w:space="0" w:color="auto"/>
                <w:right w:val="none" w:sz="0" w:space="0" w:color="auto"/>
              </w:divBdr>
              <w:divsChild>
                <w:div w:id="103426267">
                  <w:marLeft w:val="0"/>
                  <w:marRight w:val="0"/>
                  <w:marTop w:val="0"/>
                  <w:marBottom w:val="0"/>
                  <w:divBdr>
                    <w:top w:val="none" w:sz="0" w:space="0" w:color="auto"/>
                    <w:left w:val="none" w:sz="0" w:space="0" w:color="auto"/>
                    <w:bottom w:val="none" w:sz="0" w:space="0" w:color="auto"/>
                    <w:right w:val="none" w:sz="0" w:space="0" w:color="auto"/>
                  </w:divBdr>
                  <w:divsChild>
                    <w:div w:id="1570268267">
                      <w:marLeft w:val="0"/>
                      <w:marRight w:val="0"/>
                      <w:marTop w:val="0"/>
                      <w:marBottom w:val="0"/>
                      <w:divBdr>
                        <w:top w:val="none" w:sz="0" w:space="0" w:color="auto"/>
                        <w:left w:val="none" w:sz="0" w:space="0" w:color="auto"/>
                        <w:bottom w:val="none" w:sz="0" w:space="0" w:color="auto"/>
                        <w:right w:val="none" w:sz="0" w:space="0" w:color="auto"/>
                      </w:divBdr>
                      <w:divsChild>
                        <w:div w:id="1899049356">
                          <w:marLeft w:val="0"/>
                          <w:marRight w:val="0"/>
                          <w:marTop w:val="0"/>
                          <w:marBottom w:val="0"/>
                          <w:divBdr>
                            <w:top w:val="none" w:sz="0" w:space="0" w:color="auto"/>
                            <w:left w:val="none" w:sz="0" w:space="0" w:color="auto"/>
                            <w:bottom w:val="none" w:sz="0" w:space="0" w:color="auto"/>
                            <w:right w:val="none" w:sz="0" w:space="0" w:color="auto"/>
                          </w:divBdr>
                          <w:divsChild>
                            <w:div w:id="345715108">
                              <w:marLeft w:val="0"/>
                              <w:marRight w:val="0"/>
                              <w:marTop w:val="0"/>
                              <w:marBottom w:val="0"/>
                              <w:divBdr>
                                <w:top w:val="none" w:sz="0" w:space="0" w:color="auto"/>
                                <w:left w:val="none" w:sz="0" w:space="0" w:color="auto"/>
                                <w:bottom w:val="none" w:sz="0" w:space="0" w:color="auto"/>
                                <w:right w:val="none" w:sz="0" w:space="0" w:color="auto"/>
                              </w:divBdr>
                              <w:divsChild>
                                <w:div w:id="928346941">
                                  <w:marLeft w:val="0"/>
                                  <w:marRight w:val="0"/>
                                  <w:marTop w:val="0"/>
                                  <w:marBottom w:val="0"/>
                                  <w:divBdr>
                                    <w:top w:val="none" w:sz="0" w:space="0" w:color="auto"/>
                                    <w:left w:val="none" w:sz="0" w:space="0" w:color="auto"/>
                                    <w:bottom w:val="none" w:sz="0" w:space="0" w:color="auto"/>
                                    <w:right w:val="none" w:sz="0" w:space="0" w:color="auto"/>
                                  </w:divBdr>
                                  <w:divsChild>
                                    <w:div w:id="892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118425">
      <w:bodyDiv w:val="1"/>
      <w:marLeft w:val="0"/>
      <w:marRight w:val="0"/>
      <w:marTop w:val="0"/>
      <w:marBottom w:val="0"/>
      <w:divBdr>
        <w:top w:val="none" w:sz="0" w:space="0" w:color="auto"/>
        <w:left w:val="none" w:sz="0" w:space="0" w:color="auto"/>
        <w:bottom w:val="none" w:sz="0" w:space="0" w:color="auto"/>
        <w:right w:val="none" w:sz="0" w:space="0" w:color="auto"/>
      </w:divBdr>
      <w:divsChild>
        <w:div w:id="1510870410">
          <w:marLeft w:val="0"/>
          <w:marRight w:val="0"/>
          <w:marTop w:val="0"/>
          <w:marBottom w:val="0"/>
          <w:divBdr>
            <w:top w:val="none" w:sz="0" w:space="0" w:color="auto"/>
            <w:left w:val="none" w:sz="0" w:space="0" w:color="auto"/>
            <w:bottom w:val="none" w:sz="0" w:space="0" w:color="auto"/>
            <w:right w:val="none" w:sz="0" w:space="0" w:color="auto"/>
          </w:divBdr>
          <w:divsChild>
            <w:div w:id="1874608605">
              <w:marLeft w:val="0"/>
              <w:marRight w:val="0"/>
              <w:marTop w:val="0"/>
              <w:marBottom w:val="0"/>
              <w:divBdr>
                <w:top w:val="none" w:sz="0" w:space="0" w:color="auto"/>
                <w:left w:val="none" w:sz="0" w:space="0" w:color="auto"/>
                <w:bottom w:val="none" w:sz="0" w:space="0" w:color="auto"/>
                <w:right w:val="none" w:sz="0" w:space="0" w:color="auto"/>
              </w:divBdr>
              <w:divsChild>
                <w:div w:id="1641111958">
                  <w:marLeft w:val="0"/>
                  <w:marRight w:val="0"/>
                  <w:marTop w:val="0"/>
                  <w:marBottom w:val="0"/>
                  <w:divBdr>
                    <w:top w:val="none" w:sz="0" w:space="0" w:color="auto"/>
                    <w:left w:val="none" w:sz="0" w:space="0" w:color="auto"/>
                    <w:bottom w:val="none" w:sz="0" w:space="0" w:color="auto"/>
                    <w:right w:val="none" w:sz="0" w:space="0" w:color="auto"/>
                  </w:divBdr>
                  <w:divsChild>
                    <w:div w:id="1087925301">
                      <w:marLeft w:val="0"/>
                      <w:marRight w:val="0"/>
                      <w:marTop w:val="0"/>
                      <w:marBottom w:val="0"/>
                      <w:divBdr>
                        <w:top w:val="none" w:sz="0" w:space="0" w:color="auto"/>
                        <w:left w:val="none" w:sz="0" w:space="0" w:color="auto"/>
                        <w:bottom w:val="none" w:sz="0" w:space="0" w:color="auto"/>
                        <w:right w:val="none" w:sz="0" w:space="0" w:color="auto"/>
                      </w:divBdr>
                      <w:divsChild>
                        <w:div w:id="1280532455">
                          <w:marLeft w:val="0"/>
                          <w:marRight w:val="0"/>
                          <w:marTop w:val="0"/>
                          <w:marBottom w:val="0"/>
                          <w:divBdr>
                            <w:top w:val="none" w:sz="0" w:space="0" w:color="auto"/>
                            <w:left w:val="none" w:sz="0" w:space="0" w:color="auto"/>
                            <w:bottom w:val="none" w:sz="0" w:space="0" w:color="auto"/>
                            <w:right w:val="none" w:sz="0" w:space="0" w:color="auto"/>
                          </w:divBdr>
                          <w:divsChild>
                            <w:div w:id="1225330834">
                              <w:marLeft w:val="0"/>
                              <w:marRight w:val="0"/>
                              <w:marTop w:val="0"/>
                              <w:marBottom w:val="0"/>
                              <w:divBdr>
                                <w:top w:val="none" w:sz="0" w:space="0" w:color="auto"/>
                                <w:left w:val="none" w:sz="0" w:space="0" w:color="auto"/>
                                <w:bottom w:val="none" w:sz="0" w:space="0" w:color="auto"/>
                                <w:right w:val="none" w:sz="0" w:space="0" w:color="auto"/>
                              </w:divBdr>
                              <w:divsChild>
                                <w:div w:id="148250434">
                                  <w:marLeft w:val="0"/>
                                  <w:marRight w:val="0"/>
                                  <w:marTop w:val="0"/>
                                  <w:marBottom w:val="0"/>
                                  <w:divBdr>
                                    <w:top w:val="none" w:sz="0" w:space="0" w:color="auto"/>
                                    <w:left w:val="none" w:sz="0" w:space="0" w:color="auto"/>
                                    <w:bottom w:val="none" w:sz="0" w:space="0" w:color="auto"/>
                                    <w:right w:val="none" w:sz="0" w:space="0" w:color="auto"/>
                                  </w:divBdr>
                                  <w:divsChild>
                                    <w:div w:id="13107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s@ippf.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s@ippf.org" TargetMode="External"/><Relationship Id="rId5" Type="http://schemas.openxmlformats.org/officeDocument/2006/relationships/footnotes" Target="footnotes.xml"/><Relationship Id="rId10" Type="http://schemas.openxmlformats.org/officeDocument/2006/relationships/hyperlink" Target="mailto:procurement@ippf.org" TargetMode="External"/><Relationship Id="rId4" Type="http://schemas.openxmlformats.org/officeDocument/2006/relationships/webSettings" Target="webSettings.xml"/><Relationship Id="rId9" Type="http://schemas.openxmlformats.org/officeDocument/2006/relationships/hyperlink" Target="mailto:saro-recruitment@ipp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1978</Words>
  <Characters>11277</Characters>
  <Application>Microsoft Office Word</Application>
  <DocSecurity>0</DocSecurity>
  <Lines>93</Lines>
  <Paragraphs>26</Paragraphs>
  <ScaleCrop>false</ScaleCrop>
  <Company/>
  <LinksUpToDate>false</LinksUpToDate>
  <CharactersWithSpaces>13229</CharactersWithSpaces>
  <SharedDoc>false</SharedDoc>
  <HLinks>
    <vt:vector size="30" baseType="variant">
      <vt:variant>
        <vt:i4>3932184</vt:i4>
      </vt:variant>
      <vt:variant>
        <vt:i4>12</vt:i4>
      </vt:variant>
      <vt:variant>
        <vt:i4>0</vt:i4>
      </vt:variant>
      <vt:variant>
        <vt:i4>5</vt:i4>
      </vt:variant>
      <vt:variant>
        <vt:lpwstr>mailto:ADas@ippf.org</vt:lpwstr>
      </vt:variant>
      <vt:variant>
        <vt:lpwstr/>
      </vt:variant>
      <vt:variant>
        <vt:i4>3735571</vt:i4>
      </vt:variant>
      <vt:variant>
        <vt:i4>9</vt:i4>
      </vt:variant>
      <vt:variant>
        <vt:i4>0</vt:i4>
      </vt:variant>
      <vt:variant>
        <vt:i4>5</vt:i4>
      </vt:variant>
      <vt:variant>
        <vt:lpwstr>mailto:procurement@ippf.org</vt:lpwstr>
      </vt:variant>
      <vt:variant>
        <vt:lpwstr/>
      </vt:variant>
      <vt:variant>
        <vt:i4>7143424</vt:i4>
      </vt:variant>
      <vt:variant>
        <vt:i4>6</vt:i4>
      </vt:variant>
      <vt:variant>
        <vt:i4>0</vt:i4>
      </vt:variant>
      <vt:variant>
        <vt:i4>5</vt:i4>
      </vt:variant>
      <vt:variant>
        <vt:lpwstr>mailto:saro-recruitment@ippf.org</vt:lpwstr>
      </vt:variant>
      <vt:variant>
        <vt:lpwstr/>
      </vt:variant>
      <vt:variant>
        <vt:i4>3735571</vt:i4>
      </vt:variant>
      <vt:variant>
        <vt:i4>3</vt:i4>
      </vt:variant>
      <vt:variant>
        <vt:i4>0</vt:i4>
      </vt:variant>
      <vt:variant>
        <vt:i4>5</vt:i4>
      </vt:variant>
      <vt:variant>
        <vt:lpwstr>mailto:procurement@ippf.org</vt:lpwstr>
      </vt:variant>
      <vt:variant>
        <vt:lpwstr/>
      </vt:variant>
      <vt:variant>
        <vt:i4>3932184</vt:i4>
      </vt:variant>
      <vt:variant>
        <vt:i4>0</vt:i4>
      </vt:variant>
      <vt:variant>
        <vt:i4>0</vt:i4>
      </vt:variant>
      <vt:variant>
        <vt:i4>5</vt:i4>
      </vt:variant>
      <vt:variant>
        <vt:lpwstr>mailto:adas@ippf.org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Das</dc:creator>
  <cp:keywords/>
  <dc:description/>
  <cp:lastModifiedBy>Purnima Singh</cp:lastModifiedBy>
  <cp:revision>429</cp:revision>
  <dcterms:created xsi:type="dcterms:W3CDTF">2025-06-18T19:55:00Z</dcterms:created>
  <dcterms:modified xsi:type="dcterms:W3CDTF">2025-07-03T14:13:00Z</dcterms:modified>
</cp:coreProperties>
</file>